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CD40" w14:textId="77777777" w:rsidR="00693132" w:rsidRDefault="00693132" w:rsidP="0069313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Transcript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Promigas call</w:t>
      </w:r>
    </w:p>
    <w:p w14:paraId="1D7CD6D6" w14:textId="77777777" w:rsidR="00693132" w:rsidRDefault="00693132" w:rsidP="0069313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Quarterly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3Q 2022</w:t>
      </w:r>
    </w:p>
    <w:p w14:paraId="594A8743" w14:textId="77777777" w:rsidR="00693132" w:rsidRDefault="00693132" w:rsidP="0069313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23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MX"/>
        </w:rPr>
        <w:t>November</w:t>
      </w:r>
      <w:proofErr w:type="spellEnd"/>
      <w:r>
        <w:rPr>
          <w:rFonts w:ascii="Arial" w:hAnsi="Arial" w:cs="Arial"/>
          <w:b/>
          <w:bCs/>
          <w:sz w:val="24"/>
          <w:szCs w:val="24"/>
          <w:lang w:val="es-MX"/>
        </w:rPr>
        <w:t xml:space="preserve"> 2022</w:t>
      </w:r>
    </w:p>
    <w:p w14:paraId="1B340609" w14:textId="77777777" w:rsidR="00693132" w:rsidRDefault="00693132" w:rsidP="0069313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5D841F0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r>
        <w:rPr>
          <w:rFonts w:ascii="Arial" w:hAnsi="Arial" w:cs="Arial"/>
          <w:sz w:val="24"/>
          <w:szCs w:val="24"/>
          <w:lang w:val="es-MX"/>
        </w:rPr>
        <w:t xml:space="preserve">Good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morning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everyone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Juliana Vergara, </w:t>
      </w:r>
      <w:proofErr w:type="gramStart"/>
      <w:r>
        <w:rPr>
          <w:rFonts w:ascii="Arial" w:hAnsi="Arial" w:cs="Arial"/>
          <w:sz w:val="24"/>
          <w:szCs w:val="24"/>
          <w:lang w:val="es-MX"/>
        </w:rPr>
        <w:t>Director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Investor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Through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platform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enabled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button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answered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recorded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46676A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Today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joined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Rojas,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and Aquiles Mercado Gonzales,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administrative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vice-president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executives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floor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29E26558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Juliana. Good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morning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everyone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joining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call.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2022, in particular and at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20% versus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likewise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14% vs.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individual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15% versus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7% versus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D56ACCB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Secondly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declared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start</w:t>
      </w:r>
      <w:proofErr w:type="spellEnd"/>
      <w:r>
        <w:rPr>
          <w:rFonts w:ascii="Arial" w:hAnsi="Arial" w:cs="Arial"/>
          <w:sz w:val="24"/>
          <w:szCs w:val="24"/>
          <w:lang w:val="es-MX"/>
        </w:rPr>
        <w:t>-up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formal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Piura,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finished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construction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announced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additional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customers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formal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-up. </w:t>
      </w:r>
    </w:p>
    <w:p w14:paraId="312FE10E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ratifications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credit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AAA local and BBB-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international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outlook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Fitch Ratings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confirms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once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maintains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risk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position </w:t>
      </w:r>
      <w:proofErr w:type="gramStart"/>
      <w:r>
        <w:rPr>
          <w:rFonts w:ascii="Arial" w:hAnsi="Arial" w:cs="Arial"/>
          <w:sz w:val="24"/>
          <w:szCs w:val="24"/>
          <w:lang w:val="es-MX"/>
        </w:rPr>
        <w:t>in gas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4D9B2E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Fourthly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develop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offering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comprehensive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renewable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efficiency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total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47.2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megawatts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detail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composed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32MW,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approximately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correspond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15.3MW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Auto-co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7EB1E398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lastRenderedPageBreak/>
        <w:t>Fifth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recognition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innovative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capacity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hydrogen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hydrogen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production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Latin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America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recognition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efforts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innovation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teams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always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thinking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future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organization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09753296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look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475 MPCD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cubic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feet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)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although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insurance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36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days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required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0225B6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>, non-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following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figure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thousand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119D0D0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>
        <w:rPr>
          <w:rFonts w:ascii="Arial" w:hAnsi="Arial" w:cs="Arial"/>
          <w:sz w:val="24"/>
          <w:szCs w:val="24"/>
          <w:lang w:val="es-MX"/>
        </w:rPr>
        <w:t>In gas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already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5.8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1.7 M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already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23%.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already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19,000 km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networks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13%,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67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neighbouring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place, in non-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Brilla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credit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772,000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achieved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non-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tool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4.9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people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accessed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available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placements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approximately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$747,000 M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066CBD91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Regarding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semester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16%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1.5 M,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22% in Ebitda,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portfolio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25%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approximately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295.000 M.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outstanding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performance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18%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4.4 M pesos,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20% and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954,000 M pesos.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once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balance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49%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51%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56%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4B11CD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look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individual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compare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half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 10%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Ebitda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295,000 M, 15%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estimate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individual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January-September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show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 20%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15% in Ebitda and 7%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9AC7B0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ratify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commitment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excellence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provision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particular,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July-September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sectors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thermoelectric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industrial,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CNG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shows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reactivation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industrial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particular stands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30 MPCD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occurred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Barrancabermeja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refinery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continued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optimal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performance,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limit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established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continuity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99.99%,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ratifying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efficient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18F7F530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Corporate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517,000 M pesos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planned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85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B85F6C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safe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over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achieving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ourselves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maintaining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1.86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LTIFR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1.85 and 1.86,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positions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3.23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initially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set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objective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D58D694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working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Dupont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accidents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strengthening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safety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corporate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culture,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show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course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something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priority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attention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Promigas. </w:t>
      </w:r>
    </w:p>
    <w:p w14:paraId="342CE513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innovation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portfolio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consider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everything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digital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transformation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innovation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bridge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today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future,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products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sense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patent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office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patent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fourth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corporate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particularly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 "Modular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Cooling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System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".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hydrogen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production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Latin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America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beginning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H2LAC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fifth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consecutive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participated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corporate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innovation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ranking,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innovative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country. </w:t>
      </w:r>
    </w:p>
    <w:p w14:paraId="395CE6AA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Let's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composed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Transmetano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Promioriente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Transoccidente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Promisol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LNG,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Promisol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Zonagen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look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graph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variations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Atlantic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show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reactivation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occurred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325 MPCD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347 MPCD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6% and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earlier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occurred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thermoelectric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industrial,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natural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vehicles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In particular,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Barrancabermeja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refinery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peak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168 MPCD. </w:t>
      </w:r>
    </w:p>
    <w:p w14:paraId="3C09DCA7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natural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subsidiaries,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show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Promioriente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29%,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Transmetano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6%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Transoccidente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17%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demonstrating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reactivation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occurred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162C4CA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becoming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insurance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country,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beginning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required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backup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system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always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complied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July-September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shipment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look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shipments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corresponds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number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January-September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anyway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July-September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hydro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supported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country's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reservoir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85%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contributions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120%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historical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measure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drop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days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524563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Let's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look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specific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GEN Distribución,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let's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characterized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Surtigas,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GdO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Gases de Caribe,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Quavii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Quavii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del pacífico,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Cálidda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Promigas Perú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sector CEO,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non-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Brilla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center in Enlace and Versa. </w:t>
      </w:r>
    </w:p>
    <w:p w14:paraId="7E0C7E34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things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look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graph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number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500,000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half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particular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270,000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additional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Cálidda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area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Lima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surroundings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40,000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Quavii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up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310,000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neighboring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 and in Colombia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GdO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Surtigas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500,000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neighboring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country.In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GdO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Surtigas,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40,000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Let's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quite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saturated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penetrations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90%,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effort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expanding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two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80,000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milestone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18%,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291,000 M in Ebitda and,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variation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in gas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5%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4%,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40528541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look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non-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772,000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Brilla portfolio,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4,900,000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credits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beginning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beneficiaries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1, 36%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 and 13%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demonstrating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social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area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place 746 M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variation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minor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figure,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means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continues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off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Group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38CEEBE6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area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beginning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aim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players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diversify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portfolio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products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partner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customers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transition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decarbonization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sense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47.2 MW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energy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50%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construction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total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capacity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87%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47.Of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47.2 MW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32 MW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15.3 MW are Auto and Co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Additionally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serve 42 MW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provide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maintenance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services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items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3,556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61% and 9,668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Auto and Co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98%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forecast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mobility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NGV in Colombia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 MPCD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1.3 MPCD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19,316 M, 93%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 and 3,187 M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signed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construction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maintenance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alliances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different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entities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detailed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report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Investor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753CB5DC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corporate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affairs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distinctive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foundation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benefiting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7,000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people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64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country, 16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PDET.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$1.16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mobilized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demonstrates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capacity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Foundation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resources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strengthen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implementing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areas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employment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entrepreneurship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More productive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communities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territories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519BAEC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Employment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4,110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beneficiaries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people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complete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degree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desertion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43%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graduates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formal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job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link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formal labor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developed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31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are PDET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724CF4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Entrepreneurship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implemented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811 ventures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strengthening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models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sales,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1,400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beneficiaries in training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entrepreneurship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27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 are PDET.</w:t>
      </w:r>
    </w:p>
    <w:p w14:paraId="1A305440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More Productive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Communities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supported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302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833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beneficiaries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14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are PDET.</w:t>
      </w:r>
    </w:p>
    <w:p w14:paraId="4B1CC7FB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And in Territorios más sostenibles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714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beneficiaries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 PDET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municipalities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country.</w:t>
      </w:r>
    </w:p>
    <w:p w14:paraId="2A30D2E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floor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Aquiles Mercado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recount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2E16F4C1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statements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individual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exceeded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8%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273,461 M pesos,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exceeding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figure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381,621 M pesos and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295,241 M pesos.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exchange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invoicing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until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425 pesos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invoiced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sector.</w:t>
      </w:r>
    </w:p>
    <w:p w14:paraId="41B862FC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Ebitda 381,621 M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just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participation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methods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among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Cálidda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installations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intense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activity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country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contributing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massification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natural gas. </w:t>
      </w:r>
    </w:p>
    <w:p w14:paraId="59BA3357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Promioriente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insurance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Ecopetrol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interruptible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basis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Sociedad Portuaria El Callado,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liquefied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basically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remunerates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availability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storage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vessel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TRM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despite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annual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treatment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NIF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type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5750699F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lower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Boil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evaporative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costs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inventory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floating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storage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2F0CA8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Transmetano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lower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costs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expenses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indemnity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affectation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pipeline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easement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marginal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11,200 M pesos.</w:t>
      </w:r>
    </w:p>
    <w:p w14:paraId="2A95BD96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expenses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average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balance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CPI,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parameter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Colombia, i.e.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Colombian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pesos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variable cases, as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volatility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suffered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300, 400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basic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points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analysis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D96ED9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cumulative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vs.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3Q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analysis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20%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over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826,428M,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16%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1,199,747,000 and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16%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budget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up 7%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over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954,789M.</w:t>
      </w:r>
    </w:p>
    <w:p w14:paraId="3225D2B6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already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accumulated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TRM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invoicing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receipt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Ecopetrol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invoice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early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termination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renewed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longer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lower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volume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indemnity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31,809 M pesos. Ebitda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equity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method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up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portfolio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. Net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essence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affected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expenses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significant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7011589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Regarding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balance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sheet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individual balance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sheet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55%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dividends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March </w:t>
      </w:r>
      <w:proofErr w:type="gramStart"/>
      <w:r>
        <w:rPr>
          <w:rFonts w:ascii="Arial" w:hAnsi="Arial" w:cs="Arial"/>
          <w:sz w:val="24"/>
          <w:szCs w:val="24"/>
          <w:lang w:val="es-MX"/>
        </w:rPr>
        <w:t>meetings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in 2022,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accounts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payment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installments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647FCBA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macroeconomic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economic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variables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necessary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calculation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corresponding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recognition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potential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account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receivable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Colombian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government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virtue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purchase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long-term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recorded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portfolio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equity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method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capitalization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subsidiary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adjustments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offset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dividends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declared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March 2022 meetings. </w:t>
      </w:r>
    </w:p>
    <w:p w14:paraId="15B5A8C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liabilities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114%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ordinary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extraordinary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dividends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March </w:t>
      </w:r>
      <w:proofErr w:type="gramStart"/>
      <w:r>
        <w:rPr>
          <w:rFonts w:ascii="Arial" w:hAnsi="Arial" w:cs="Arial"/>
          <w:sz w:val="24"/>
          <w:szCs w:val="24"/>
          <w:lang w:val="es-MX"/>
        </w:rPr>
        <w:t>meeting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course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course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transfer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long-term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liabilities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portion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credits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mature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April 2023. Long-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liabilities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aforementioned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transfer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doubtful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accounts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maturing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short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turn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offset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greater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difference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exchange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statements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difference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clarifying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naturally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covered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abroad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recorded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exchange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statement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517C61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explanation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statements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floor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Rojas. </w:t>
      </w:r>
    </w:p>
    <w:p w14:paraId="2C1708E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Aquiles. Juliana,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up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attendees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0ABCF703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Ricardo Sandoval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Bancolombia: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reason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114,000 M pesos in 3Q 2022 vs 131,000 M pesos in 3Q 2021?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spite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answered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CFO Aquiles Mercado. </w:t>
      </w:r>
    </w:p>
    <w:p w14:paraId="0E5CDBF3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Juliana. Yes,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two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items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equity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method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631,000 M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712,000 M pesos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subject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analysis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signed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2009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legal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stability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agreement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productive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fixed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40%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deductible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34%,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deductions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stability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agreement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until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2029.</w:t>
      </w:r>
    </w:p>
    <w:p w14:paraId="1B6EB30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r>
        <w:rPr>
          <w:rFonts w:ascii="Arial" w:hAnsi="Arial" w:cs="Arial"/>
          <w:sz w:val="24"/>
          <w:szCs w:val="24"/>
          <w:lang w:val="es-MX"/>
        </w:rPr>
        <w:t xml:space="preserve">Juan Manuel,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Cristian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Fera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Balanz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Capital.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percentage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total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average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</w:p>
    <w:p w14:paraId="00D7AEE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Juliana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modification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shows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slight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reduction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began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1st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3%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variable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regulatory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useful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life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WAC.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January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Colombian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PPI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estimated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range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15% and 20%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depending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authorization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AOM expenses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D5E6C3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Cristian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Fera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Balanz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Capital: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discussed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Colombia.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CREG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regulatory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measures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similar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months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A6AB467" w14:textId="77777777" w:rsidR="00693132" w:rsidRDefault="00693132" w:rsidP="00693132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Here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discussion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Commission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Ministry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Government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evaluating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plan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discussion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during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benefited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PPI,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looks at a 15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PPI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benefited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consumer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discussion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open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electric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sector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A97B5CC" w14:textId="77777777" w:rsidR="00693132" w:rsidRDefault="00693132" w:rsidP="00693132">
      <w:pPr>
        <w:rPr>
          <w:rFonts w:ascii="Arial" w:hAnsi="Arial" w:cs="Arial"/>
          <w:sz w:val="24"/>
          <w:szCs w:val="24"/>
          <w:lang w:val="es-MX"/>
        </w:rPr>
      </w:pPr>
    </w:p>
    <w:p w14:paraId="39263FE8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fourth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Cristian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Fera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Balanz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Capital: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little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bit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idea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2023 and 2024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regulatory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resolve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</w:p>
    <w:p w14:paraId="0B6E773C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Wilson Chinchilla: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Basically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43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2023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execute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55 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NIF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20%.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basically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definition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Cálidda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entered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expiring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Gases del Pacífico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valid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calm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today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commercially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authorized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7E0E502" w14:textId="77777777" w:rsidR="00693132" w:rsidRDefault="00693132" w:rsidP="0069313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fifth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Carlos Carazas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Seminario Perú: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Although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activities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outside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Colombia.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downgrade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Peruvian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sovereign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surely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kept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 agencies,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their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grade.</w:t>
      </w:r>
    </w:p>
    <w:p w14:paraId="79BE37A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Fitch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Moddies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reports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express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reference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saving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activities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outside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undeniable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diversification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help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international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2010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sovereign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levels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above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speculative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possibility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bit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outlook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already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negative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necessarily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indicate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hypothetical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certainly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major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threat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locally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international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Fitch and 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Moddies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resilience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type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undoubtedly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a quite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effort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sustain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sovereigns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countries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lose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grade. </w:t>
      </w:r>
    </w:p>
    <w:p w14:paraId="11699E7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Rodrigo Sánchez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Davivienda Corredores: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Considering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100 MPCD pipeline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Canacol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awarded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consortium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Shanghái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Engineering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Technology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Jobo and Medellín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exceeds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maximum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capacity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30 MPCD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pipeline,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position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regard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advance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</w:p>
    <w:p w14:paraId="1BF0254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Canacol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announced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Jobo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fields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department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Cordoba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Medellin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through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construction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maintenance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289 km gas pipeline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diameter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inches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awarded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foreign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consortium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technical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constructive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details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attentive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development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framework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6D3C30D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Rodrigo Sánchez: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changes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proposed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reform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foresee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accounting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estimated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figures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channels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</w:p>
    <w:p w14:paraId="64EEBFE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Actually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item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reform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cash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occasional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deferred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concession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contracts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deferred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knowing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occasional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15,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111.000 M pesos,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worth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remembering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reform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Ministry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Commerce,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Industry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Tourism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Decree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1311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October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20, 2021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adjustments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equity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PYG,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waiting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Accountants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attached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Ministry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Commerce,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make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equity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statement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otherwise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impact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identified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affects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insist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causation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cash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6442C1A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Rodrigo Sánchez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Davivienda Corredores: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considering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bond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months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pesos? </w:t>
      </w:r>
    </w:p>
    <w:p w14:paraId="705CA39B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r>
        <w:rPr>
          <w:rFonts w:ascii="Arial" w:hAnsi="Arial" w:cs="Arial"/>
          <w:sz w:val="24"/>
          <w:szCs w:val="24"/>
          <w:lang w:val="es-MX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considered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bond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bond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quota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approved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recurring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up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pesos,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evaluation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international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conditions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volatility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quite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peaks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considered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remainder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2022, and in 2023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behavior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evaluate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programs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viable alternative,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bond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CFD5A0F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González,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independent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positive,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unfortunately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reflected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back shares?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business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shareholders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0E74C8E5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management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considers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directors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authorized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managers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shares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so,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view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decision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decision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shareholders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something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happens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Colombian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shares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happening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Colombian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Stock Exchange,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decision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shares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shareholders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'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issue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management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14BABB2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Ezequiel Fernández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Balanz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amortization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facing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2023 and 2024?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F068F79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Aquiles Mercado: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amortizations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2023 and 2024, in 2023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specifically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940,000 M pesos,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rounding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up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figure, and in 2024 985,000 M pesos.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important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prevent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deficiency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resources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board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directors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announced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month's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relevant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authorized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early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contracting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necessary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resources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obligations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debt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maturities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necessary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Capex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try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minimize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negative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arbitrage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generate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advantage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placement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surpluses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informed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rating agencies as a defense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strategy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valid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pose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challenges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liquidity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high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9BAFD8E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Aquiles,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Carlos Carazas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Seminario: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MX"/>
        </w:rPr>
        <w:t>Congratulations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specification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Colombia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affect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>?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incremental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would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bring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? </w:t>
      </w:r>
    </w:p>
    <w:p w14:paraId="159E204F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Carlos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part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mentioned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general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terms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different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moments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September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2022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first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capital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10.94%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currency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pesos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TRM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2021,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also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values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from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regulatory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useful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life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assets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expired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2020.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2023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CREG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publish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resolutions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integral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recalculation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updating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AOM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variables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second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stage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implementation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date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commission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date,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taken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commission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show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significant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progress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review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applications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stages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completed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example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administrative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actions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initiated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tariff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rulings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presented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CREG, AOM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audits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publication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response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market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projected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demands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among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others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cycle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information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requesting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regarding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transportation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charges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14:paraId="6E4A2394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 transfer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Wilson Chinchilla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vice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president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distribution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D43DD67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F917CFB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Wilson Chinchilla: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Gasnorp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strong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investment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process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especially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industrial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allowed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year's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1.1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half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half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which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currently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represents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almost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400%,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expect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18 and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half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million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dollars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means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growth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21% in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without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NIF,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following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connection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customers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saturation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reached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in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8%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10%. </w:t>
      </w:r>
    </w:p>
    <w:p w14:paraId="2B746461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Juliana Vergara: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Wilson,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no more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remind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additional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questions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write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at inversionistas@promigas.com.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give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floor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Juan Manuel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B3BA3BF" w14:textId="77777777" w:rsidR="00693132" w:rsidRDefault="00693132" w:rsidP="006931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Juan Manuel Rojas: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Juliana,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attendees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call, once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third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quarter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ratify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commitment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Promigas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obtaining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excellent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operational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areas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social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innovation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undertakings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financial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results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speak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themselves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significant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increase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Ebitda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period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revenues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solid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profitable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company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proud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so once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very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much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joining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look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forward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meeting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again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our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year-end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closing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call.</w:t>
      </w:r>
    </w:p>
    <w:p w14:paraId="2A05AD4E" w14:textId="77777777" w:rsidR="00693132" w:rsidRDefault="00693132" w:rsidP="0069313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6D657C9" w14:textId="77777777" w:rsidR="00693132" w:rsidRDefault="00693132" w:rsidP="00693132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FIN</w:t>
      </w:r>
    </w:p>
    <w:p w14:paraId="17C932D5" w14:textId="77777777" w:rsidR="0009474D" w:rsidRDefault="0009474D"/>
    <w:sectPr w:rsidR="00094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32"/>
    <w:rsid w:val="0009474D"/>
    <w:rsid w:val="006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DF85"/>
  <w15:chartTrackingRefBased/>
  <w15:docId w15:val="{31EFDE91-7D15-48AD-BCE9-9762C266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1987A9D885C48AD9BC6204C9CB9D3" ma:contentTypeVersion="13" ma:contentTypeDescription="Crear nuevo documento." ma:contentTypeScope="" ma:versionID="5279bb01598440791005485994354b4a">
  <xsd:schema xmlns:xsd="http://www.w3.org/2001/XMLSchema" xmlns:xs="http://www.w3.org/2001/XMLSchema" xmlns:p="http://schemas.microsoft.com/office/2006/metadata/properties" xmlns:ns2="e0ce8514-f51c-4765-916e-adb037550a05" targetNamespace="http://schemas.microsoft.com/office/2006/metadata/properties" ma:root="true" ma:fieldsID="70532a73682968a44e36d4f747050967" ns2:_="">
    <xsd:import namespace="e0ce8514-f51c-4765-916e-adb037550a05"/>
    <xsd:element name="properties">
      <xsd:complexType>
        <xsd:sequence>
          <xsd:element name="documentManagement">
            <xsd:complexType>
              <xsd:all>
                <xsd:element ref="ns2:Title_ENG" minOccurs="0"/>
                <xsd:element ref="ns2:Trimestre" minOccurs="0"/>
                <xsd:element ref="ns2:Etiqueta_ESP" minOccurs="0"/>
                <xsd:element ref="ns2:Etiqueta_ENG" minOccurs="0"/>
                <xsd:element ref="ns2:Orden_ESP" minOccurs="0"/>
                <xsd:element ref="ns2:Activo" minOccurs="0"/>
                <xsd:element ref="ns2:Idioma" minOccurs="0"/>
                <xsd:element ref="ns2:Eslink" minOccurs="0"/>
                <xsd:element ref="ns2:Orden_ENG" minOccurs="0"/>
                <xsd:element ref="ns2:UrlDestino_ESP" minOccurs="0"/>
                <xsd:element ref="ns2:UrlDestino_ENG" minOccurs="0"/>
                <xsd:element ref="ns2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8514-f51c-4765-916e-adb037550a05" elementFormDefault="qualified">
    <xsd:import namespace="http://schemas.microsoft.com/office/2006/documentManagement/types"/>
    <xsd:import namespace="http://schemas.microsoft.com/office/infopath/2007/PartnerControls"/>
    <xsd:element name="Title_ENG" ma:index="8" nillable="true" ma:displayName="Title_ENG" ma:internalName="Title_ENG">
      <xsd:simpleType>
        <xsd:restriction base="dms:Text">
          <xsd:maxLength value="255"/>
        </xsd:restriction>
      </xsd:simpleType>
    </xsd:element>
    <xsd:element name="Trimestre" ma:index="9" nillable="true" ma:displayName="Trimestre" ma:internalName="Trimestre" ma:percentage="FALSE">
      <xsd:simpleType>
        <xsd:restriction base="dms:Number"/>
      </xsd:simpleType>
    </xsd:element>
    <xsd:element name="Etiqueta_ESP" ma:index="10" nillable="true" ma:displayName="Etiqueta_ESP" ma:internalName="Etiqueta_ESP">
      <xsd:simpleType>
        <xsd:restriction base="dms:Text">
          <xsd:maxLength value="255"/>
        </xsd:restriction>
      </xsd:simpleType>
    </xsd:element>
    <xsd:element name="Etiqueta_ENG" ma:index="11" nillable="true" ma:displayName="Etiqueta_ENG" ma:internalName="Etiqueta_ENG">
      <xsd:simpleType>
        <xsd:restriction base="dms:Text">
          <xsd:maxLength value="255"/>
        </xsd:restriction>
      </xsd:simpleType>
    </xsd:element>
    <xsd:element name="Orden_ESP" ma:index="12" nillable="true" ma:displayName="Orden_ESP" ma:internalName="Orden_ESP" ma:percentage="FALSE">
      <xsd:simpleType>
        <xsd:restriction base="dms:Number"/>
      </xsd:simpleType>
    </xsd:element>
    <xsd:element name="Activo" ma:index="13" nillable="true" ma:displayName="Activo" ma:default="1" ma:internalName="Activo">
      <xsd:simpleType>
        <xsd:restriction base="dms:Boolean"/>
      </xsd:simpleType>
    </xsd:element>
    <xsd:element name="Idioma" ma:index="14" nillable="true" ma:displayName="Idioma" ma:default="ESP" ma:internalName="Idioma">
      <xsd:simpleType>
        <xsd:restriction base="dms:Choice">
          <xsd:enumeration value="ESP"/>
          <xsd:enumeration value="ENG"/>
        </xsd:restriction>
      </xsd:simpleType>
    </xsd:element>
    <xsd:element name="Eslink" ma:index="15" nillable="true" ma:displayName="Eslink" ma:default="0" ma:internalName="Eslink">
      <xsd:simpleType>
        <xsd:restriction base="dms:Boolean"/>
      </xsd:simpleType>
    </xsd:element>
    <xsd:element name="Orden_ENG" ma:index="16" nillable="true" ma:displayName="Orden_ENG" ma:internalName="Orden_ENG">
      <xsd:simpleType>
        <xsd:restriction base="dms:Number"/>
      </xsd:simpleType>
    </xsd:element>
    <xsd:element name="UrlDestino_ESP" ma:index="17" nillable="true" ma:displayName="UrlDestino_ESP" ma:internalName="UrlDestino_ESP">
      <xsd:simpleType>
        <xsd:restriction base="dms:Text">
          <xsd:maxLength value="255"/>
        </xsd:restriction>
      </xsd:simpleType>
    </xsd:element>
    <xsd:element name="UrlDestino_ENG" ma:index="18" nillable="true" ma:displayName="UrlDestino_ENG" ma:internalName="UrlDestino_ENG">
      <xsd:simpleType>
        <xsd:restriction base="dms:Text">
          <xsd:maxLength value="255"/>
        </xsd:restriction>
      </xsd:simpleType>
    </xsd:element>
    <xsd:element name="Anio" ma:index="19" nillable="true" ma:displayName="Anio" ma:internalName="Ani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_ESP xmlns="e0ce8514-f51c-4765-916e-adb037550a05">0</Orden_ESP>
    <Anio xmlns="e0ce8514-f51c-4765-916e-adb037550a05">2022</Anio>
    <Etiqueta_ESP xmlns="e0ce8514-f51c-4765-916e-adb037550a05">3T 2022</Etiqueta_ESP>
    <UrlDestino_ESP xmlns="e0ce8514-f51c-4765-916e-adb037550a05" xsi:nil="true"/>
    <Etiqueta_ENG xmlns="e0ce8514-f51c-4765-916e-adb037550a05" xsi:nil="true"/>
    <Trimestre xmlns="e0ce8514-f51c-4765-916e-adb037550a05">3</Trimestre>
    <Idioma xmlns="e0ce8514-f51c-4765-916e-adb037550a05">ENG</Idioma>
    <Title_ENG xmlns="e0ce8514-f51c-4765-916e-adb037550a05" xsi:nil="true"/>
    <Eslink xmlns="e0ce8514-f51c-4765-916e-adb037550a05">false</Eslink>
    <Activo xmlns="e0ce8514-f51c-4765-916e-adb037550a05">false</Activo>
    <Orden_ENG xmlns="e0ce8514-f51c-4765-916e-adb037550a05" xsi:nil="true"/>
    <UrlDestino_ENG xmlns="e0ce8514-f51c-4765-916e-adb037550a05" xsi:nil="true"/>
  </documentManagement>
</p:properties>
</file>

<file path=customXml/itemProps1.xml><?xml version="1.0" encoding="utf-8"?>
<ds:datastoreItem xmlns:ds="http://schemas.openxmlformats.org/officeDocument/2006/customXml" ds:itemID="{3D6F7984-4EC5-433C-8A20-21EC480BF0D3}"/>
</file>

<file path=customXml/itemProps2.xml><?xml version="1.0" encoding="utf-8"?>
<ds:datastoreItem xmlns:ds="http://schemas.openxmlformats.org/officeDocument/2006/customXml" ds:itemID="{C864563F-4C22-47CE-972B-71EFC09BE6AC}"/>
</file>

<file path=customXml/itemProps3.xml><?xml version="1.0" encoding="utf-8"?>
<ds:datastoreItem xmlns:ds="http://schemas.openxmlformats.org/officeDocument/2006/customXml" ds:itemID="{B989251D-622D-4AF5-8893-F6C1ECE98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5664</Words>
  <Characters>31154</Characters>
  <Application>Microsoft Office Word</Application>
  <DocSecurity>0</DocSecurity>
  <Lines>259</Lines>
  <Paragraphs>73</Paragraphs>
  <ScaleCrop>false</ScaleCrop>
  <Company/>
  <LinksUpToDate>false</LinksUpToDate>
  <CharactersWithSpaces>36745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Results Transcriprion Promigas Q2-2022</dc:title>
  <dc:subject/>
  <dc:creator>Karla Zeledon</dc:creator>
  <cp:keywords/>
  <dc:description/>
  <cp:lastModifiedBy>Karla Zeledon</cp:lastModifiedBy>
  <cp:revision>1</cp:revision>
  <dcterms:created xsi:type="dcterms:W3CDTF">2022-12-06T16:20:00Z</dcterms:created>
  <dcterms:modified xsi:type="dcterms:W3CDTF">2022-12-06T16:20:00Z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0x0101008751987A9D885C48AD9BC6204C9CB9D3</vt:lpwstr>
  </property>
</Properties>
</file>