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93483" w14:textId="18C80BA2" w:rsidR="00445D79" w:rsidRPr="001C5D81" w:rsidRDefault="00B11897" w:rsidP="00A82C4A">
      <w:pPr>
        <w:pStyle w:val="Encabezado"/>
        <w:jc w:val="center"/>
        <w:rPr>
          <w:rFonts w:ascii="Bookman Old Style" w:hAnsi="Bookman Old Style" w:cs="Arial"/>
          <w:vanish/>
          <w:szCs w:val="24"/>
          <w:specVanish/>
        </w:rPr>
      </w:pPr>
      <w:bookmarkStart w:id="0" w:name="_GoBack"/>
      <w:bookmarkEnd w:id="0"/>
      <w:r>
        <w:rPr>
          <w:rFonts w:ascii="Bookman Old Style" w:hAnsi="Bookman Old Style" w:cs="Arial"/>
          <w:szCs w:val="24"/>
        </w:rPr>
        <w:object w:dxaOrig="1440" w:dyaOrig="1440" w14:anchorId="334B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65pt;margin-top:-51.85pt;width:46.5pt;height:48.75pt;z-index:251657728" fillcolor="#0c9">
            <v:imagedata r:id="rId8" o:title="" cropright="7490f"/>
          </v:shape>
          <o:OLEObject Type="Embed" ProgID="PBrush" ShapeID="_x0000_s1026" DrawAspect="Content" ObjectID="_1580044643" r:id="rId9"/>
        </w:object>
      </w:r>
    </w:p>
    <w:p w14:paraId="17F7A357" w14:textId="506F8B3A" w:rsidR="00217B06" w:rsidRPr="001954E9" w:rsidRDefault="00217B06" w:rsidP="00A82C4A">
      <w:pPr>
        <w:pStyle w:val="Ttulo4"/>
        <w:tabs>
          <w:tab w:val="left" w:pos="0"/>
          <w:tab w:val="right" w:pos="9356"/>
        </w:tabs>
        <w:spacing w:before="360" w:after="360"/>
        <w:ind w:left="9356" w:hanging="9356"/>
        <w:rPr>
          <w:rFonts w:ascii="Bookman Old Style" w:hAnsi="Bookman Old Style"/>
          <w:b w:val="0"/>
          <w:bCs/>
          <w:noProof/>
          <w:sz w:val="24"/>
          <w:szCs w:val="24"/>
          <w:lang w:val="es-ES"/>
        </w:rPr>
      </w:pPr>
      <w:r w:rsidRPr="001954E9">
        <w:rPr>
          <w:rFonts w:ascii="Bookman Old Style" w:hAnsi="Bookman Old Style"/>
          <w:b w:val="0"/>
          <w:bCs/>
          <w:sz w:val="24"/>
          <w:szCs w:val="24"/>
        </w:rPr>
        <w:t>Ministerio de Minas y Energía</w:t>
      </w:r>
    </w:p>
    <w:p w14:paraId="1241F3DC" w14:textId="77777777" w:rsidR="00217B06" w:rsidRPr="001954E9" w:rsidRDefault="00217B06" w:rsidP="00217B06">
      <w:pPr>
        <w:pStyle w:val="Ttulo3"/>
        <w:tabs>
          <w:tab w:val="left" w:pos="0"/>
          <w:tab w:val="right" w:pos="9356"/>
        </w:tabs>
        <w:spacing w:before="360" w:after="600"/>
        <w:rPr>
          <w:rFonts w:ascii="Bookman Old Style" w:hAnsi="Bookman Old Style" w:cs="Arial"/>
          <w:spacing w:val="20"/>
          <w:szCs w:val="24"/>
        </w:rPr>
      </w:pPr>
      <w:r w:rsidRPr="001954E9">
        <w:rPr>
          <w:rFonts w:ascii="Bookman Old Style" w:hAnsi="Bookman Old Style" w:cs="Arial"/>
          <w:spacing w:val="20"/>
          <w:szCs w:val="24"/>
        </w:rPr>
        <w:t>COMISIÓN DE REGULACIÓN DE ENERGÍA Y GAS</w:t>
      </w:r>
    </w:p>
    <w:p w14:paraId="0734FBB1" w14:textId="4CB7996D" w:rsidR="00217B06" w:rsidRPr="001954E9" w:rsidRDefault="00217B06" w:rsidP="00217B06">
      <w:pPr>
        <w:pStyle w:val="Ttulo5"/>
        <w:numPr>
          <w:ilvl w:val="0"/>
          <w:numId w:val="0"/>
        </w:numPr>
        <w:tabs>
          <w:tab w:val="left" w:pos="0"/>
          <w:tab w:val="right" w:pos="9356"/>
        </w:tabs>
        <w:spacing w:before="240" w:after="360"/>
        <w:jc w:val="center"/>
      </w:pPr>
      <w:r w:rsidRPr="001954E9">
        <w:t>RESOLUCIÓN No.                   DE 201</w:t>
      </w:r>
      <w:r w:rsidR="005C1C38">
        <w:t>8</w:t>
      </w:r>
    </w:p>
    <w:p w14:paraId="16A874B1" w14:textId="77777777" w:rsidR="00217B06" w:rsidRPr="001954E9" w:rsidRDefault="00217B06" w:rsidP="00217B06">
      <w:pPr>
        <w:pStyle w:val="Ttulo3"/>
        <w:tabs>
          <w:tab w:val="left" w:pos="0"/>
          <w:tab w:val="right" w:pos="9356"/>
        </w:tabs>
        <w:spacing w:before="360" w:after="720"/>
        <w:rPr>
          <w:rFonts w:ascii="Bookman Old Style" w:hAnsi="Bookman Old Style"/>
          <w:b w:val="0"/>
          <w:szCs w:val="24"/>
        </w:rPr>
      </w:pPr>
      <w:r w:rsidRPr="001954E9">
        <w:rPr>
          <w:rFonts w:ascii="Bookman Old Style" w:hAnsi="Bookman Old Style"/>
          <w:b w:val="0"/>
          <w:szCs w:val="24"/>
        </w:rPr>
        <w:t>(                                  )</w:t>
      </w:r>
    </w:p>
    <w:p w14:paraId="1854AC52" w14:textId="6D736F11" w:rsidR="005F5476" w:rsidRPr="005F5476" w:rsidRDefault="007D0F27" w:rsidP="00B3284F">
      <w:pPr>
        <w:widowControl w:val="0"/>
        <w:adjustRightInd w:val="0"/>
        <w:ind w:right="20"/>
        <w:rPr>
          <w:rFonts w:cs="Arial"/>
          <w:lang w:val="es-ES_tradnl"/>
        </w:rPr>
      </w:pPr>
      <w:r w:rsidRPr="00C752BD">
        <w:rPr>
          <w:rFonts w:cs="Arial"/>
        </w:rPr>
        <w:t>Por la cual se resuelve</w:t>
      </w:r>
      <w:r w:rsidR="00C44516" w:rsidRPr="00C752BD">
        <w:rPr>
          <w:rFonts w:cs="Arial"/>
        </w:rPr>
        <w:t xml:space="preserve"> </w:t>
      </w:r>
      <w:r w:rsidR="003F60A4" w:rsidRPr="00C752BD">
        <w:rPr>
          <w:rFonts w:cs="Arial"/>
        </w:rPr>
        <w:t xml:space="preserve">el </w:t>
      </w:r>
      <w:r w:rsidR="00C44516" w:rsidRPr="00C752BD">
        <w:rPr>
          <w:rFonts w:cs="Arial"/>
        </w:rPr>
        <w:t xml:space="preserve">recurso de reposición interpuesto por la </w:t>
      </w:r>
      <w:r w:rsidR="00F30217" w:rsidRPr="00C752BD">
        <w:rPr>
          <w:rFonts w:cs="Arial"/>
        </w:rPr>
        <w:t xml:space="preserve">empresa </w:t>
      </w:r>
      <w:r w:rsidR="00317D45">
        <w:rPr>
          <w:rFonts w:cs="Arial"/>
        </w:rPr>
        <w:t>GASES DEL CARIBE</w:t>
      </w:r>
      <w:r w:rsidR="00ED5CEB" w:rsidRPr="00C752BD">
        <w:rPr>
          <w:rFonts w:cs="Arial"/>
        </w:rPr>
        <w:t xml:space="preserve"> S.A. E.S.P.</w:t>
      </w:r>
      <w:r w:rsidR="004D6882" w:rsidRPr="00C752BD">
        <w:rPr>
          <w:rFonts w:cs="Arial"/>
        </w:rPr>
        <w:t xml:space="preserve"> contra </w:t>
      </w:r>
      <w:r w:rsidR="005F5476" w:rsidRPr="00C752BD">
        <w:rPr>
          <w:rFonts w:cs="Arial"/>
        </w:rPr>
        <w:t xml:space="preserve">la Resolución CREG </w:t>
      </w:r>
      <w:r w:rsidR="00317D45">
        <w:rPr>
          <w:rFonts w:cs="Arial"/>
        </w:rPr>
        <w:t>198 de 2017</w:t>
      </w:r>
      <w:r w:rsidR="005F5476" w:rsidRPr="00C752BD">
        <w:rPr>
          <w:rFonts w:cs="Arial"/>
        </w:rPr>
        <w:t xml:space="preserve">, </w:t>
      </w:r>
      <w:r w:rsidR="008A762A" w:rsidRPr="00C752BD">
        <w:rPr>
          <w:rFonts w:cs="Arial"/>
        </w:rPr>
        <w:t>“</w:t>
      </w:r>
      <w:r w:rsidR="00317D45" w:rsidRPr="001954E9">
        <w:rPr>
          <w:rFonts w:cs="Arial"/>
          <w:lang w:val="es-ES_tradnl"/>
        </w:rPr>
        <w:t xml:space="preserve">Por la cual se aprueba cargo transitorio </w:t>
      </w:r>
      <w:r w:rsidR="00317D45" w:rsidRPr="00D03E47">
        <w:rPr>
          <w:rFonts w:cs="Arial"/>
          <w:lang w:val="es-ES_tradnl"/>
        </w:rPr>
        <w:t xml:space="preserve">por uso del </w:t>
      </w:r>
      <w:r w:rsidR="00317D45">
        <w:rPr>
          <w:rFonts w:cs="Arial"/>
          <w:lang w:val="es-ES_tradnl"/>
        </w:rPr>
        <w:t>s</w:t>
      </w:r>
      <w:r w:rsidR="00317D45" w:rsidRPr="00D03E47">
        <w:rPr>
          <w:rFonts w:cs="Arial"/>
          <w:lang w:val="es-ES_tradnl"/>
        </w:rPr>
        <w:t xml:space="preserve">istema de </w:t>
      </w:r>
      <w:r w:rsidR="00317D45">
        <w:rPr>
          <w:rFonts w:cs="Arial"/>
          <w:lang w:val="es-ES_tradnl"/>
        </w:rPr>
        <w:t>d</w:t>
      </w:r>
      <w:r w:rsidR="00317D45" w:rsidRPr="00D03E47">
        <w:rPr>
          <w:rFonts w:cs="Arial"/>
          <w:lang w:val="es-ES_tradnl"/>
        </w:rPr>
        <w:t xml:space="preserve">istribución de gas combustible por redes de tubería, </w:t>
      </w:r>
      <w:r w:rsidR="00317D45">
        <w:rPr>
          <w:rFonts w:cs="Arial"/>
          <w:lang w:val="es-ES_tradnl"/>
        </w:rPr>
        <w:t>para el mercado relevante conformado por municipios de los departamentos de Atlántico, Magdalena, Cesar y Bolívar</w:t>
      </w:r>
      <w:r w:rsidR="00317D45" w:rsidRPr="00651FFE">
        <w:rPr>
          <w:rFonts w:cs="Arial"/>
          <w:lang w:val="es-ES_tradnl"/>
        </w:rPr>
        <w:t>,</w:t>
      </w:r>
      <w:r w:rsidR="00317D45">
        <w:rPr>
          <w:rFonts w:cs="Arial"/>
          <w:lang w:val="es-ES_tradnl"/>
        </w:rPr>
        <w:t xml:space="preserve"> según solicitud tarifaria presentada por </w:t>
      </w:r>
      <w:r w:rsidR="00317D45" w:rsidRPr="00A566CF">
        <w:rPr>
          <w:rFonts w:cs="Arial"/>
          <w:lang w:val="es-ES_tradnl"/>
        </w:rPr>
        <w:t>GASES DEL CARIBE S.A. E.S.P.</w:t>
      </w:r>
      <w:r w:rsidR="00317D45">
        <w:rPr>
          <w:rFonts w:cs="Arial"/>
          <w:lang w:val="es-ES_tradnl"/>
        </w:rPr>
        <w:t xml:space="preserve"> y PROMIGAS S.A. E.S.P.</w:t>
      </w:r>
      <w:r w:rsidR="00CF0DF7">
        <w:rPr>
          <w:rFonts w:cs="Arial"/>
          <w:lang w:val="es-ES_tradnl"/>
        </w:rPr>
        <w:t>”</w:t>
      </w:r>
    </w:p>
    <w:p w14:paraId="41A27AF5" w14:textId="77777777" w:rsidR="00102E06" w:rsidRPr="00102E06" w:rsidRDefault="00102E06" w:rsidP="00102E06">
      <w:pPr>
        <w:pStyle w:val="Ttulo7"/>
        <w:keepNext w:val="0"/>
        <w:keepLines w:val="0"/>
        <w:spacing w:before="720" w:after="480"/>
        <w:jc w:val="center"/>
        <w:rPr>
          <w:rFonts w:ascii="Bookman Old Style" w:eastAsia="Times New Roman" w:hAnsi="Bookman Old Style" w:cs="Times New Roman"/>
          <w:b/>
          <w:i w:val="0"/>
          <w:iCs w:val="0"/>
          <w:color w:val="auto"/>
        </w:rPr>
      </w:pPr>
      <w:r w:rsidRPr="00102E06">
        <w:rPr>
          <w:rFonts w:ascii="Bookman Old Style" w:eastAsia="Times New Roman" w:hAnsi="Bookman Old Style" w:cs="Times New Roman"/>
          <w:b/>
          <w:i w:val="0"/>
          <w:iCs w:val="0"/>
          <w:color w:val="auto"/>
        </w:rPr>
        <w:t>LA COMISIÓN DE REGULACIÓN DE ENERGÍA Y GAS</w:t>
      </w:r>
    </w:p>
    <w:p w14:paraId="1153D86E" w14:textId="77777777" w:rsidR="00102E06" w:rsidRPr="001954E9" w:rsidRDefault="00102E06" w:rsidP="00102E06">
      <w:pPr>
        <w:jc w:val="center"/>
        <w:rPr>
          <w:rFonts w:cs="Arial"/>
        </w:rPr>
      </w:pPr>
      <w:r w:rsidRPr="001954E9">
        <w:rPr>
          <w:rFonts w:cs="Arial"/>
        </w:rPr>
        <w:t>En ejercicio de sus atribuciones constitucionales y legales, en especial las conferidas por la Ley 142 de 1994, y en desarrollo de los decretos 2253 de 1994 y 1260 de 2013, y</w:t>
      </w:r>
    </w:p>
    <w:p w14:paraId="58A2BC1E" w14:textId="77777777" w:rsidR="00102E06" w:rsidRPr="001954E9" w:rsidRDefault="00102E06" w:rsidP="00102E06">
      <w:pPr>
        <w:spacing w:before="600" w:after="600"/>
        <w:jc w:val="center"/>
        <w:rPr>
          <w:rFonts w:cs="Arial"/>
          <w:b/>
        </w:rPr>
      </w:pPr>
      <w:r w:rsidRPr="001954E9">
        <w:rPr>
          <w:rFonts w:cs="Arial"/>
          <w:b/>
          <w:spacing w:val="80"/>
        </w:rPr>
        <w:t>CONSIDERANDO QUE</w:t>
      </w:r>
      <w:r w:rsidRPr="001954E9">
        <w:rPr>
          <w:rFonts w:cs="Arial"/>
          <w:b/>
        </w:rPr>
        <w:t>:</w:t>
      </w:r>
    </w:p>
    <w:p w14:paraId="5B4F0340" w14:textId="77777777" w:rsidR="0033067A" w:rsidRPr="00112CA1" w:rsidRDefault="0033067A" w:rsidP="00056CBF">
      <w:pPr>
        <w:pStyle w:val="Ttulo5"/>
        <w:tabs>
          <w:tab w:val="clear" w:pos="1080"/>
          <w:tab w:val="num" w:pos="851"/>
        </w:tabs>
        <w:ind w:left="567" w:hanging="567"/>
        <w:jc w:val="left"/>
      </w:pPr>
      <w:r w:rsidRPr="00112CA1">
        <w:t>ANTECEDENTES</w:t>
      </w:r>
    </w:p>
    <w:p w14:paraId="3D717262" w14:textId="77777777" w:rsidR="009045F7" w:rsidRDefault="009045F7" w:rsidP="009045F7">
      <w:pPr>
        <w:adjustRightInd w:val="0"/>
        <w:spacing w:before="240" w:after="240"/>
        <w:rPr>
          <w:rFonts w:cs="Arial"/>
        </w:rPr>
      </w:pPr>
      <w:r w:rsidRPr="001954E9">
        <w:rPr>
          <w:rFonts w:cs="Arial"/>
        </w:rPr>
        <w:t>El artículo 14.28 de la Ley 142 de 1994 definió el servicio público domiciliario de gas combustible como el conjunto de actividades ordenadas a la distribución de gas combustible</w:t>
      </w:r>
      <w:r>
        <w:rPr>
          <w:rFonts w:cs="Arial"/>
        </w:rPr>
        <w:t>, por tubería u otro medio, desde un sitio de acopio de grandes volúmenes o desde un gasoducto central hasta la instalación de un consumidor final, incluyendo su conexión y medición</w:t>
      </w:r>
      <w:r w:rsidRPr="001954E9">
        <w:rPr>
          <w:rFonts w:cs="Arial"/>
        </w:rPr>
        <w:t>.</w:t>
      </w:r>
    </w:p>
    <w:p w14:paraId="443DE248" w14:textId="77777777" w:rsidR="009045F7" w:rsidRPr="001954E9" w:rsidRDefault="009045F7" w:rsidP="009045F7">
      <w:pPr>
        <w:adjustRightInd w:val="0"/>
        <w:spacing w:before="240" w:after="240"/>
        <w:rPr>
          <w:rFonts w:cs="Arial"/>
        </w:rPr>
      </w:pPr>
      <w:r w:rsidRPr="001954E9">
        <w:rPr>
          <w:rFonts w:cs="Arial"/>
        </w:rPr>
        <w:t>Según lo dispuesto por el artículo 28 de la Ley 142 de 1994, la construcción y operación de redes para el transporte de gas, así como el señalamiento de las tarifas por uso, se regirán exclusivamente por esa Ley</w:t>
      </w:r>
      <w:r>
        <w:rPr>
          <w:rFonts w:cs="Arial"/>
        </w:rPr>
        <w:t xml:space="preserve"> y por las normas ambientales, sanitarias y municipales a las que se alude en los artículos 25 y 26 de la misma</w:t>
      </w:r>
      <w:r w:rsidRPr="001954E9">
        <w:rPr>
          <w:rFonts w:cs="Arial"/>
        </w:rPr>
        <w:t>.</w:t>
      </w:r>
    </w:p>
    <w:p w14:paraId="151EC557" w14:textId="77777777" w:rsidR="009045F7" w:rsidRPr="001954E9" w:rsidRDefault="009045F7" w:rsidP="009045F7">
      <w:pPr>
        <w:adjustRightInd w:val="0"/>
        <w:spacing w:before="240" w:after="240"/>
        <w:rPr>
          <w:rFonts w:cs="Arial"/>
        </w:rPr>
      </w:pPr>
      <w:r w:rsidRPr="001954E9">
        <w:rPr>
          <w:rFonts w:cs="Arial"/>
        </w:rPr>
        <w:t xml:space="preserve">El artículo 73.11 de la Ley 142 de 1994 atribuyó a la Comisión de Regulación de Energía y Gas la competencia para establecer las fórmulas para la fijación de las tarifas del servicio público domiciliario de gas combustible. </w:t>
      </w:r>
    </w:p>
    <w:p w14:paraId="588564A2" w14:textId="77777777" w:rsidR="009045F7" w:rsidRPr="001954E9" w:rsidRDefault="009045F7" w:rsidP="009045F7">
      <w:pPr>
        <w:adjustRightInd w:val="0"/>
        <w:spacing w:before="240" w:after="240"/>
        <w:rPr>
          <w:rFonts w:cs="Arial"/>
        </w:rPr>
      </w:pPr>
      <w:r w:rsidRPr="001954E9">
        <w:rPr>
          <w:rFonts w:cs="Arial"/>
        </w:rPr>
        <w:lastRenderedPageBreak/>
        <w:t>Según lo dispuesto por el artículo 88.1 de la Ley 142 de 1994, la Comisión de Regulación de Energía y Gas podrá establecer topes máximos y mínimos tarifarios, de obligatorio cumplimiento por parte de las empresas.</w:t>
      </w:r>
    </w:p>
    <w:p w14:paraId="1AFBD859" w14:textId="7ADDBF81" w:rsidR="009045F7" w:rsidRPr="001954E9" w:rsidRDefault="009045F7" w:rsidP="00771865">
      <w:pPr>
        <w:adjustRightInd w:val="0"/>
        <w:spacing w:before="240" w:after="240"/>
        <w:rPr>
          <w:rFonts w:cs="Arial"/>
        </w:rPr>
      </w:pPr>
      <w:r>
        <w:rPr>
          <w:rFonts w:cs="Arial"/>
        </w:rPr>
        <w:t>A</w:t>
      </w:r>
      <w:r w:rsidRPr="001954E9">
        <w:rPr>
          <w:rFonts w:cs="Arial"/>
        </w:rPr>
        <w:t xml:space="preserve"> través de la Resolución CREG 202 de 2013 se establecieron los criterios generales para remunerar la actividad de distribución de gas combustible por redes de tubería</w:t>
      </w:r>
      <w:r w:rsidR="00771865">
        <w:rPr>
          <w:rFonts w:cs="Arial"/>
        </w:rPr>
        <w:t>. Dicha resolución fue modificada y/o adicionada por las</w:t>
      </w:r>
      <w:r w:rsidRPr="001954E9">
        <w:rPr>
          <w:rFonts w:cs="Arial"/>
        </w:rPr>
        <w:t xml:space="preserve"> Resoluci</w:t>
      </w:r>
      <w:r>
        <w:rPr>
          <w:rFonts w:cs="Arial"/>
        </w:rPr>
        <w:t>ones</w:t>
      </w:r>
      <w:r w:rsidRPr="001954E9">
        <w:rPr>
          <w:rFonts w:cs="Arial"/>
        </w:rPr>
        <w:t xml:space="preserve"> CREG 052 de 2014, 138 de 2014, 112 de 2015, 125 de 2015 y 141 de 2015</w:t>
      </w:r>
      <w:r w:rsidR="00771865">
        <w:rPr>
          <w:rFonts w:cs="Arial"/>
        </w:rPr>
        <w:t>.</w:t>
      </w:r>
    </w:p>
    <w:p w14:paraId="4AA79FC7" w14:textId="77777777" w:rsidR="009045F7" w:rsidRDefault="009045F7" w:rsidP="009045F7">
      <w:pPr>
        <w:spacing w:before="240" w:after="240"/>
        <w:rPr>
          <w:lang w:val="es-ES_tradnl"/>
        </w:rPr>
      </w:pPr>
      <w:r>
        <w:rPr>
          <w:lang w:val="es-ES_tradnl"/>
        </w:rPr>
        <w:t>En el Anexo 4 de la Resolución CREG 202 de 2013 se establecen los costos de las unidades constructivas para valorar la Inversión Existente (IE) y en el Anexo 5 de la misma resolución se disponen las cantidades de unidades constructivas reconocidas como Inversión Existente (IE). Los numerales 4 y 20 de dichos anexos contienen la información relativa a las empresas GASES DEL CARIBE S.A. E.S.P. y PROMIGAS S.A. E.S.P. respectivamente.</w:t>
      </w:r>
    </w:p>
    <w:p w14:paraId="3E47622B" w14:textId="77777777" w:rsidR="009045F7" w:rsidRDefault="009045F7" w:rsidP="009045F7">
      <w:pPr>
        <w:spacing w:before="240" w:after="240"/>
        <w:outlineLvl w:val="0"/>
        <w:rPr>
          <w:rFonts w:cs="Arial"/>
          <w:spacing w:val="-5"/>
          <w:lang w:val="es-CO"/>
        </w:rPr>
      </w:pPr>
      <w:r>
        <w:rPr>
          <w:rFonts w:cs="Arial"/>
        </w:rPr>
        <w:t xml:space="preserve">Por medio de la Circular CREG 034 de 2017 la Comisión dispuso que las empresas distribuidoras podrán solicitar </w:t>
      </w:r>
      <w:r w:rsidRPr="00571D66">
        <w:rPr>
          <w:rFonts w:cs="Arial"/>
          <w:spacing w:val="-5"/>
          <w:lang w:val="es-CO"/>
        </w:rPr>
        <w:t xml:space="preserve">aprobación de cargos transitorios de distribución de gas combustible por redes de </w:t>
      </w:r>
      <w:r>
        <w:rPr>
          <w:rFonts w:cs="Arial"/>
          <w:spacing w:val="-5"/>
          <w:lang w:val="es-CO"/>
        </w:rPr>
        <w:t>tubería para los mercados existentes de su interés.</w:t>
      </w:r>
    </w:p>
    <w:p w14:paraId="161A942B" w14:textId="7F82EC8B" w:rsidR="00771865" w:rsidRDefault="00771865" w:rsidP="00771865">
      <w:pPr>
        <w:adjustRightInd w:val="0"/>
        <w:spacing w:before="240" w:after="240"/>
        <w:ind w:right="23"/>
      </w:pPr>
      <w:r w:rsidRPr="000024C0">
        <w:t>La</w:t>
      </w:r>
      <w:r>
        <w:t>s</w:t>
      </w:r>
      <w:r w:rsidRPr="000024C0">
        <w:t xml:space="preserve"> </w:t>
      </w:r>
      <w:r w:rsidRPr="00F56506">
        <w:t xml:space="preserve">empresas </w:t>
      </w:r>
      <w:r w:rsidRPr="00A566CF">
        <w:t>GASES DEL CARIBE S.A. E.S.P. y PROMIGAS S.A. E.S.P.,</w:t>
      </w:r>
      <w:r w:rsidRPr="00F56506">
        <w:t xml:space="preserve"> mediante comunicación con radicado CREG E-2017-008427 del 12 de septiembre</w:t>
      </w:r>
      <w:r w:rsidRPr="00A566CF">
        <w:t xml:space="preserve"> </w:t>
      </w:r>
      <w:r w:rsidRPr="00F56506">
        <w:t xml:space="preserve">de 2017 y con base en lo establecido en la Circular CREG 034 de 2017, solicitó la aprobación de los cargos transitorios de distribución de </w:t>
      </w:r>
      <w:r w:rsidRPr="00A566CF">
        <w:t>gas combustible por redes de tuberí</w:t>
      </w:r>
      <w:r w:rsidRPr="00F56506">
        <w:t xml:space="preserve">a para el mercado relevante conformado por </w:t>
      </w:r>
      <w:r>
        <w:t xml:space="preserve">los municipios de Barranquilla, Soledad, Malambo, </w:t>
      </w:r>
      <w:proofErr w:type="spellStart"/>
      <w:r>
        <w:t>Baranoa</w:t>
      </w:r>
      <w:proofErr w:type="spellEnd"/>
      <w:r>
        <w:t xml:space="preserve">, </w:t>
      </w:r>
      <w:proofErr w:type="spellStart"/>
      <w:r>
        <w:t>Galapa</w:t>
      </w:r>
      <w:proofErr w:type="spellEnd"/>
      <w:r>
        <w:t xml:space="preserve">, Puerto Colombia, </w:t>
      </w:r>
      <w:proofErr w:type="spellStart"/>
      <w:r>
        <w:t>Sabanagrande</w:t>
      </w:r>
      <w:proofErr w:type="spellEnd"/>
      <w:r>
        <w:t xml:space="preserve">, </w:t>
      </w:r>
      <w:proofErr w:type="spellStart"/>
      <w:r>
        <w:t>Luruaco</w:t>
      </w:r>
      <w:proofErr w:type="spellEnd"/>
      <w:r>
        <w:t>, Palmar de Varela</w:t>
      </w:r>
      <w:r w:rsidR="0067507F">
        <w:t xml:space="preserve">, </w:t>
      </w:r>
      <w:proofErr w:type="spellStart"/>
      <w:r w:rsidR="0067507F">
        <w:t>Polonuevo</w:t>
      </w:r>
      <w:proofErr w:type="spellEnd"/>
      <w:r w:rsidR="0067507F">
        <w:t xml:space="preserve">, Ponedera, Sabanalarga, Santo Tomás, Candelaria, Juan de Acosta, Campo de la Cruz, Santa Lucía, </w:t>
      </w:r>
      <w:proofErr w:type="spellStart"/>
      <w:r w:rsidR="0067507F">
        <w:t>Usiacurí</w:t>
      </w:r>
      <w:proofErr w:type="spellEnd"/>
      <w:r w:rsidR="0067507F">
        <w:t xml:space="preserve">, Manatí, </w:t>
      </w:r>
      <w:proofErr w:type="spellStart"/>
      <w:r w:rsidR="0067507F">
        <w:t>Suan</w:t>
      </w:r>
      <w:proofErr w:type="spellEnd"/>
      <w:r w:rsidR="0067507F">
        <w:t xml:space="preserve">, Repelón, </w:t>
      </w:r>
      <w:proofErr w:type="spellStart"/>
      <w:r w:rsidR="0067507F">
        <w:t>Tubará</w:t>
      </w:r>
      <w:proofErr w:type="spellEnd"/>
      <w:r w:rsidR="0067507F">
        <w:t xml:space="preserve"> y </w:t>
      </w:r>
      <w:proofErr w:type="spellStart"/>
      <w:r w:rsidR="0067507F">
        <w:t>Piojó</w:t>
      </w:r>
      <w:proofErr w:type="spellEnd"/>
      <w:r w:rsidR="0067507F">
        <w:t xml:space="preserve"> en el departamento de Atlántico; Santa Marta, Ciénaga, Fundación, Aracataca, Zona Bananera, </w:t>
      </w:r>
      <w:proofErr w:type="spellStart"/>
      <w:r w:rsidR="0067507F">
        <w:t>Puebloviejo</w:t>
      </w:r>
      <w:proofErr w:type="spellEnd"/>
      <w:r w:rsidR="0067507F">
        <w:t xml:space="preserve">, </w:t>
      </w:r>
      <w:proofErr w:type="spellStart"/>
      <w:r w:rsidR="0067507F">
        <w:t>Sitionuevo</w:t>
      </w:r>
      <w:proofErr w:type="spellEnd"/>
      <w:r w:rsidR="0067507F">
        <w:t xml:space="preserve">, El Retén, Remolino, Salamina, El Piñón, Cerro de San Antonio, Tenerife, </w:t>
      </w:r>
      <w:proofErr w:type="spellStart"/>
      <w:r w:rsidR="0067507F">
        <w:t>Zapayán</w:t>
      </w:r>
      <w:proofErr w:type="spellEnd"/>
      <w:r w:rsidR="0067507F">
        <w:t>, Concordi</w:t>
      </w:r>
      <w:r w:rsidR="000D47C8">
        <w:t>a</w:t>
      </w:r>
      <w:r w:rsidR="0067507F">
        <w:t xml:space="preserve"> y Pedraza en el departamento de Magdalena; Valledupar, La Paz y Manaure en el departamento de Cesar; Calamar, San Estanislao, </w:t>
      </w:r>
      <w:proofErr w:type="spellStart"/>
      <w:r w:rsidR="0067507F">
        <w:t>Soplaviento</w:t>
      </w:r>
      <w:proofErr w:type="spellEnd"/>
      <w:r w:rsidR="0067507F">
        <w:t xml:space="preserve">, </w:t>
      </w:r>
      <w:proofErr w:type="spellStart"/>
      <w:r w:rsidR="0067507F">
        <w:t>Arroyohondo</w:t>
      </w:r>
      <w:proofErr w:type="spellEnd"/>
      <w:r w:rsidR="0067507F">
        <w:t xml:space="preserve"> y San Cristóbal en el departamento de Bolívar.</w:t>
      </w:r>
    </w:p>
    <w:p w14:paraId="29456DE7" w14:textId="60A230E0" w:rsidR="00222DDA" w:rsidRPr="00FE63B7" w:rsidRDefault="00465FB1" w:rsidP="00FE63B7">
      <w:pPr>
        <w:adjustRightInd w:val="0"/>
        <w:spacing w:before="240" w:after="240"/>
        <w:ind w:right="23"/>
      </w:pPr>
      <w:r w:rsidRPr="00FE63B7">
        <w:t>En este orden, l</w:t>
      </w:r>
      <w:r w:rsidR="00AD2EB3" w:rsidRPr="00FE63B7">
        <w:t xml:space="preserve">a Comisión de Regulación de Energía y Gas, en su sesión </w:t>
      </w:r>
      <w:r w:rsidR="00FE63B7" w:rsidRPr="00FE63B7">
        <w:t>828 del 27</w:t>
      </w:r>
      <w:r w:rsidR="00222DDA" w:rsidRPr="00FE63B7">
        <w:t xml:space="preserve"> de diciembre de 2017</w:t>
      </w:r>
      <w:r w:rsidR="00AD2EB3" w:rsidRPr="00FE63B7">
        <w:t xml:space="preserve">, </w:t>
      </w:r>
      <w:r w:rsidRPr="00FE63B7">
        <w:t>acordó expedir la</w:t>
      </w:r>
      <w:r w:rsidR="00AD2EB3" w:rsidRPr="00FE63B7">
        <w:t xml:space="preserve"> </w:t>
      </w:r>
      <w:r w:rsidRPr="00FE63B7">
        <w:t>R</w:t>
      </w:r>
      <w:r w:rsidR="00AD2EB3" w:rsidRPr="00FE63B7">
        <w:t>esolución</w:t>
      </w:r>
      <w:r w:rsidRPr="00FE63B7">
        <w:t xml:space="preserve"> </w:t>
      </w:r>
      <w:r w:rsidR="00586279" w:rsidRPr="00FE63B7">
        <w:t xml:space="preserve">CREG </w:t>
      </w:r>
      <w:r w:rsidR="00222DDA" w:rsidRPr="00FE63B7">
        <w:t>198 de 2017</w:t>
      </w:r>
      <w:r w:rsidR="00AD2EB3" w:rsidRPr="00FE63B7">
        <w:t>,</w:t>
      </w:r>
      <w:r w:rsidR="00222DDA" w:rsidRPr="00FE63B7">
        <w:t xml:space="preserve"> “Por la cual se aprueba cargo transitorio por uso del sistema de distribución de gas combustible por redes de tubería, para el mercado relevante conformado por municipios de los departamentos de Atlántico, Magdalena, Cesar y Bolívar, según solicitud tarifaria presentada por GASES DEL CARIBE S.A. E.S.P. y PROMIGAS S.A. E.S.P.”.</w:t>
      </w:r>
    </w:p>
    <w:p w14:paraId="2D851F9B" w14:textId="17DD44AE" w:rsidR="00FE63B7" w:rsidRPr="00FE63B7" w:rsidRDefault="00FE63B7" w:rsidP="00FE63B7">
      <w:pPr>
        <w:adjustRightInd w:val="0"/>
        <w:spacing w:before="240" w:after="240"/>
        <w:ind w:right="23"/>
      </w:pPr>
      <w:r>
        <w:t xml:space="preserve">La Resolución CREG 198 de 2017 </w:t>
      </w:r>
      <w:r w:rsidR="00147700">
        <w:t>fue notificada por correo electrónico a través del representante de efectos judiciales y administrativos</w:t>
      </w:r>
      <w:r w:rsidR="002D71FA">
        <w:t xml:space="preserve"> </w:t>
      </w:r>
      <w:r w:rsidR="001933F3">
        <w:t xml:space="preserve">de la empresa GASES DEL CARIBE S.A. E.S.P. </w:t>
      </w:r>
      <w:r w:rsidR="002D71FA">
        <w:t xml:space="preserve">el día 12 de enero de 2018 tal como consta en el </w:t>
      </w:r>
      <w:r w:rsidR="002D71FA">
        <w:lastRenderedPageBreak/>
        <w:t>radicado CREG I-2018-000120.</w:t>
      </w:r>
      <w:r w:rsidR="001933F3">
        <w:t xml:space="preserve"> De igual forma, fue notificada por correo electrónico a través del representante legal judicial de la empresa PROMIGAS S.A. E.S.P. el día 19 de enero de 2018 tal como consta en el radicado CREG I-2018-000243.</w:t>
      </w:r>
    </w:p>
    <w:p w14:paraId="37E92EC9" w14:textId="27FDCFCA" w:rsidR="00B450E3" w:rsidRPr="00FE63B7" w:rsidRDefault="00B450E3" w:rsidP="00FE63B7">
      <w:pPr>
        <w:adjustRightInd w:val="0"/>
        <w:spacing w:before="240" w:after="240"/>
        <w:ind w:right="23"/>
      </w:pPr>
      <w:r w:rsidRPr="00FE63B7">
        <w:t>Surtido el trámite de notificación de la referida decisión y estando dentro del término legal,</w:t>
      </w:r>
      <w:r w:rsidR="00472AA5" w:rsidRPr="00FE63B7">
        <w:t xml:space="preserve"> </w:t>
      </w:r>
      <w:r w:rsidR="00B22F1F">
        <w:t>e</w:t>
      </w:r>
      <w:r w:rsidR="00472AA5" w:rsidRPr="00FE63B7">
        <w:t xml:space="preserve">l representante legal </w:t>
      </w:r>
      <w:r w:rsidRPr="00FE63B7">
        <w:t xml:space="preserve">de </w:t>
      </w:r>
      <w:r w:rsidR="00B22F1F">
        <w:t>GASES DEL CARIBE</w:t>
      </w:r>
      <w:r w:rsidR="00ED5CEB" w:rsidRPr="00FE63B7">
        <w:t xml:space="preserve"> S.A. E.S.P.</w:t>
      </w:r>
      <w:r w:rsidRPr="00FE63B7">
        <w:t xml:space="preserve"> interpuso recurso de reposición </w:t>
      </w:r>
      <w:r w:rsidR="004076B9" w:rsidRPr="00FE63B7">
        <w:t>cont</w:t>
      </w:r>
      <w:r w:rsidR="00AD2EB3" w:rsidRPr="00FE63B7">
        <w:t>ra la mencionada</w:t>
      </w:r>
      <w:r w:rsidR="00EF27BD" w:rsidRPr="00FE63B7">
        <w:t xml:space="preserve"> </w:t>
      </w:r>
      <w:r w:rsidR="00AD2EB3" w:rsidRPr="00FE63B7">
        <w:t>resolución</w:t>
      </w:r>
      <w:r w:rsidR="00A53EB3" w:rsidRPr="00FE63B7">
        <w:t xml:space="preserve">, el </w:t>
      </w:r>
      <w:r w:rsidR="00B22F1F">
        <w:t>19</w:t>
      </w:r>
      <w:r w:rsidR="00A53EB3" w:rsidRPr="00FE63B7">
        <w:t xml:space="preserve"> de </w:t>
      </w:r>
      <w:r w:rsidR="00B22F1F">
        <w:t>enero</w:t>
      </w:r>
      <w:r w:rsidR="00A53EB3" w:rsidRPr="00FE63B7">
        <w:t xml:space="preserve"> de 201</w:t>
      </w:r>
      <w:r w:rsidR="00B22F1F">
        <w:t>8</w:t>
      </w:r>
      <w:r w:rsidR="00AD2EB3" w:rsidRPr="00FE63B7">
        <w:t>,</w:t>
      </w:r>
      <w:r w:rsidRPr="00FE63B7">
        <w:t xml:space="preserve"> </w:t>
      </w:r>
      <w:r w:rsidR="004076B9" w:rsidRPr="00FE63B7">
        <w:t>argumentando</w:t>
      </w:r>
      <w:r w:rsidRPr="00FE63B7">
        <w:t xml:space="preserve"> lo siguiente:</w:t>
      </w:r>
    </w:p>
    <w:p w14:paraId="35F06A46" w14:textId="61655744" w:rsidR="00232C8F" w:rsidRPr="00913B32" w:rsidRDefault="0057728C" w:rsidP="00056CBF">
      <w:pPr>
        <w:pStyle w:val="Ttulo5"/>
        <w:tabs>
          <w:tab w:val="clear" w:pos="1080"/>
          <w:tab w:val="num" w:pos="567"/>
        </w:tabs>
        <w:ind w:left="567" w:hanging="567"/>
        <w:rPr>
          <w:sz w:val="22"/>
          <w:szCs w:val="22"/>
          <w:lang w:eastAsia="es-ES_tradnl"/>
        </w:rPr>
      </w:pPr>
      <w:r w:rsidRPr="00913B32">
        <w:rPr>
          <w:sz w:val="22"/>
          <w:szCs w:val="22"/>
          <w:lang w:eastAsia="es-ES_tradnl"/>
        </w:rPr>
        <w:t>CONSIDERACIONES DEL RECURRENTE</w:t>
      </w:r>
    </w:p>
    <w:p w14:paraId="0520C7A6" w14:textId="7ED14BF9" w:rsidR="0057728C" w:rsidRDefault="00B46924" w:rsidP="00032882">
      <w:pPr>
        <w:adjustRightInd w:val="0"/>
        <w:spacing w:before="240" w:after="240"/>
        <w:ind w:right="23"/>
      </w:pPr>
      <w:r w:rsidRPr="00032882">
        <w:t xml:space="preserve">Señala el recurrente </w:t>
      </w:r>
      <w:r w:rsidR="00032882" w:rsidRPr="00032882">
        <w:t>que la Comisión omitió el reconocimiento de inversiones, categorizadas como Inversión Existente, conforme a lo definido en la Resolución CREG 202 de 2013 y sus modificaciones y adiciones, de tal forma que en la Resolución CREG 198 de 2017 se reconoce un valor de $227.830 millones (pesos de diciembre de 2014) correspondiente a Inversiones Existentes, siendo que, en la última revisión tarifaria de las empresas que atienden el mercado relevante, la Comisión reconoció un monto por Inversiones Existentes de $251.440 millones (pesos de diciembre de 2014).</w:t>
      </w:r>
      <w:r w:rsidR="0072229C">
        <w:t xml:space="preserve"> Esto equivale a una diferencia de $23.610,99 millones (pesos de diciembre de 2014).</w:t>
      </w:r>
    </w:p>
    <w:p w14:paraId="5B59CD38" w14:textId="255971CB" w:rsidR="00DF7104" w:rsidRDefault="00DF7104" w:rsidP="00032882">
      <w:pPr>
        <w:adjustRightInd w:val="0"/>
        <w:spacing w:before="240" w:after="240"/>
        <w:ind w:right="23"/>
      </w:pPr>
      <w:r>
        <w:t>Las omisiones en el reconocimiento de inversiones existentes señaladas por el recurrente se presentan en el Cuadro 1.</w:t>
      </w:r>
    </w:p>
    <w:p w14:paraId="736F31EA" w14:textId="405DF9D5" w:rsidR="00DF7104" w:rsidRDefault="00DF7104" w:rsidP="00DF7104">
      <w:pPr>
        <w:adjustRightInd w:val="0"/>
        <w:spacing w:before="240" w:after="240"/>
        <w:ind w:right="23"/>
        <w:jc w:val="center"/>
        <w:rPr>
          <w:b/>
        </w:rPr>
      </w:pPr>
      <w:r w:rsidRPr="00DF7104">
        <w:rPr>
          <w:b/>
        </w:rPr>
        <w:t>Cuadro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7"/>
        <w:gridCol w:w="852"/>
        <w:gridCol w:w="995"/>
        <w:gridCol w:w="991"/>
        <w:gridCol w:w="709"/>
        <w:gridCol w:w="896"/>
        <w:gridCol w:w="806"/>
        <w:gridCol w:w="851"/>
        <w:gridCol w:w="707"/>
        <w:gridCol w:w="847"/>
      </w:tblGrid>
      <w:tr w:rsidR="008D0D1A" w:rsidRPr="008D0D1A" w14:paraId="66109AF2" w14:textId="77777777" w:rsidTr="00994812">
        <w:trPr>
          <w:trHeight w:val="391"/>
        </w:trPr>
        <w:tc>
          <w:tcPr>
            <w:tcW w:w="907" w:type="pct"/>
            <w:tcBorders>
              <w:top w:val="nil"/>
              <w:left w:val="nil"/>
              <w:bottom w:val="nil"/>
              <w:right w:val="nil"/>
            </w:tcBorders>
            <w:shd w:val="clear" w:color="auto" w:fill="auto"/>
            <w:noWrap/>
            <w:vAlign w:val="bottom"/>
            <w:hideMark/>
          </w:tcPr>
          <w:p w14:paraId="7A829A5D" w14:textId="77777777" w:rsidR="008D0D1A" w:rsidRPr="008D0D1A" w:rsidRDefault="008D0D1A" w:rsidP="008D0D1A">
            <w:pPr>
              <w:jc w:val="left"/>
              <w:rPr>
                <w:sz w:val="13"/>
                <w:szCs w:val="13"/>
                <w:lang w:val="es-CO" w:eastAsia="es-CO"/>
              </w:rPr>
            </w:pPr>
          </w:p>
        </w:tc>
        <w:tc>
          <w:tcPr>
            <w:tcW w:w="455" w:type="pct"/>
            <w:tcBorders>
              <w:top w:val="nil"/>
              <w:left w:val="nil"/>
              <w:bottom w:val="nil"/>
              <w:right w:val="nil"/>
            </w:tcBorders>
            <w:shd w:val="clear" w:color="auto" w:fill="auto"/>
            <w:noWrap/>
            <w:vAlign w:val="bottom"/>
            <w:hideMark/>
          </w:tcPr>
          <w:p w14:paraId="7F68E1D6" w14:textId="77777777" w:rsidR="008D0D1A" w:rsidRPr="008D0D1A" w:rsidRDefault="008D0D1A" w:rsidP="008D0D1A">
            <w:pPr>
              <w:jc w:val="left"/>
              <w:rPr>
                <w:sz w:val="13"/>
                <w:szCs w:val="13"/>
                <w:lang w:val="es-CO" w:eastAsia="es-CO"/>
              </w:rPr>
            </w:pPr>
          </w:p>
        </w:tc>
        <w:tc>
          <w:tcPr>
            <w:tcW w:w="532" w:type="pct"/>
            <w:tcBorders>
              <w:top w:val="nil"/>
              <w:left w:val="nil"/>
              <w:bottom w:val="nil"/>
              <w:right w:val="nil"/>
            </w:tcBorders>
            <w:shd w:val="clear" w:color="auto" w:fill="auto"/>
            <w:noWrap/>
            <w:vAlign w:val="bottom"/>
            <w:hideMark/>
          </w:tcPr>
          <w:p w14:paraId="75ACB8EA" w14:textId="77777777" w:rsidR="008D0D1A" w:rsidRPr="008D0D1A" w:rsidRDefault="008D0D1A" w:rsidP="008D0D1A">
            <w:pPr>
              <w:jc w:val="left"/>
              <w:rPr>
                <w:sz w:val="13"/>
                <w:szCs w:val="13"/>
                <w:lang w:val="es-CO" w:eastAsia="es-CO"/>
              </w:rPr>
            </w:pPr>
          </w:p>
        </w:tc>
        <w:tc>
          <w:tcPr>
            <w:tcW w:w="530" w:type="pct"/>
            <w:tcBorders>
              <w:top w:val="nil"/>
              <w:left w:val="nil"/>
              <w:bottom w:val="nil"/>
              <w:right w:val="single" w:sz="4" w:space="0" w:color="auto"/>
            </w:tcBorders>
            <w:shd w:val="clear" w:color="auto" w:fill="auto"/>
            <w:noWrap/>
            <w:vAlign w:val="bottom"/>
            <w:hideMark/>
          </w:tcPr>
          <w:p w14:paraId="7E3ED1AE" w14:textId="77777777" w:rsidR="008D0D1A" w:rsidRPr="008D0D1A" w:rsidRDefault="008D0D1A" w:rsidP="008D0D1A">
            <w:pPr>
              <w:jc w:val="left"/>
              <w:rPr>
                <w:sz w:val="13"/>
                <w:szCs w:val="13"/>
                <w:lang w:val="es-CO" w:eastAsia="es-CO"/>
              </w:rPr>
            </w:pPr>
          </w:p>
        </w:tc>
        <w:tc>
          <w:tcPr>
            <w:tcW w:w="858" w:type="pct"/>
            <w:gridSpan w:val="2"/>
            <w:tcBorders>
              <w:left w:val="single" w:sz="4" w:space="0" w:color="auto"/>
            </w:tcBorders>
            <w:shd w:val="clear" w:color="auto" w:fill="D9D9D9" w:themeFill="background1" w:themeFillShade="D9"/>
            <w:noWrap/>
            <w:vAlign w:val="center"/>
            <w:hideMark/>
          </w:tcPr>
          <w:p w14:paraId="3255848D" w14:textId="650706EE" w:rsidR="008D0D1A" w:rsidRPr="008D0D1A" w:rsidRDefault="008D0D1A" w:rsidP="008D0D1A">
            <w:pPr>
              <w:jc w:val="center"/>
              <w:rPr>
                <w:b/>
                <w:color w:val="000000"/>
                <w:sz w:val="13"/>
                <w:szCs w:val="13"/>
                <w:lang w:val="es-CO" w:eastAsia="es-CO"/>
              </w:rPr>
            </w:pPr>
            <w:r w:rsidRPr="008D0D1A">
              <w:rPr>
                <w:b/>
                <w:color w:val="000000"/>
                <w:sz w:val="13"/>
                <w:szCs w:val="13"/>
                <w:lang w:eastAsia="es-CO"/>
              </w:rPr>
              <w:t>Res. CREG 198 de 2017</w:t>
            </w:r>
          </w:p>
        </w:tc>
        <w:tc>
          <w:tcPr>
            <w:tcW w:w="886" w:type="pct"/>
            <w:gridSpan w:val="2"/>
            <w:shd w:val="clear" w:color="auto" w:fill="D9D9D9" w:themeFill="background1" w:themeFillShade="D9"/>
            <w:noWrap/>
            <w:vAlign w:val="center"/>
          </w:tcPr>
          <w:p w14:paraId="0EA31B77" w14:textId="6C46A7A0" w:rsidR="008D0D1A" w:rsidRPr="008D0D1A" w:rsidRDefault="008D0D1A" w:rsidP="008D0D1A">
            <w:pPr>
              <w:jc w:val="center"/>
              <w:rPr>
                <w:b/>
                <w:color w:val="000000"/>
                <w:sz w:val="13"/>
                <w:szCs w:val="13"/>
                <w:lang w:val="es-CO" w:eastAsia="es-CO"/>
              </w:rPr>
            </w:pPr>
            <w:r w:rsidRPr="008D0D1A">
              <w:rPr>
                <w:b/>
                <w:color w:val="000000"/>
                <w:sz w:val="13"/>
                <w:szCs w:val="13"/>
                <w:lang w:eastAsia="es-CO"/>
              </w:rPr>
              <w:t>Anexo 5 de la Res. CREG 202 de 2013</w:t>
            </w:r>
          </w:p>
        </w:tc>
        <w:tc>
          <w:tcPr>
            <w:tcW w:w="831" w:type="pct"/>
            <w:gridSpan w:val="2"/>
            <w:shd w:val="clear" w:color="auto" w:fill="D9D9D9" w:themeFill="background1" w:themeFillShade="D9"/>
            <w:vAlign w:val="center"/>
          </w:tcPr>
          <w:p w14:paraId="238FFE04" w14:textId="2FDFED71" w:rsidR="008D0D1A" w:rsidRPr="008D0D1A" w:rsidRDefault="008D0D1A" w:rsidP="008D0D1A">
            <w:pPr>
              <w:jc w:val="center"/>
              <w:rPr>
                <w:b/>
                <w:color w:val="000000"/>
                <w:sz w:val="13"/>
                <w:szCs w:val="13"/>
                <w:lang w:val="es-CO" w:eastAsia="es-CO"/>
              </w:rPr>
            </w:pPr>
            <w:r w:rsidRPr="008D0D1A">
              <w:rPr>
                <w:b/>
                <w:color w:val="000000"/>
                <w:sz w:val="13"/>
                <w:szCs w:val="13"/>
                <w:lang w:eastAsia="es-CO"/>
              </w:rPr>
              <w:t>Diferencia</w:t>
            </w:r>
          </w:p>
        </w:tc>
      </w:tr>
      <w:tr w:rsidR="00994812" w:rsidRPr="008D0D1A" w14:paraId="3FB096B2" w14:textId="77777777" w:rsidTr="00994812">
        <w:trPr>
          <w:trHeight w:val="300"/>
        </w:trPr>
        <w:tc>
          <w:tcPr>
            <w:tcW w:w="907" w:type="pct"/>
            <w:tcBorders>
              <w:top w:val="single" w:sz="4" w:space="0" w:color="auto"/>
            </w:tcBorders>
            <w:shd w:val="clear" w:color="auto" w:fill="D9D9D9" w:themeFill="background1" w:themeFillShade="D9"/>
            <w:noWrap/>
            <w:vAlign w:val="center"/>
            <w:hideMark/>
          </w:tcPr>
          <w:p w14:paraId="2615184C" w14:textId="77777777" w:rsidR="008D0D1A" w:rsidRPr="008D0D1A" w:rsidRDefault="008D0D1A" w:rsidP="008D0D1A">
            <w:pPr>
              <w:jc w:val="center"/>
              <w:rPr>
                <w:b/>
                <w:color w:val="000000"/>
                <w:sz w:val="13"/>
                <w:szCs w:val="13"/>
                <w:lang w:val="es-CO" w:eastAsia="es-CO"/>
              </w:rPr>
            </w:pPr>
            <w:r w:rsidRPr="008D0D1A">
              <w:rPr>
                <w:b/>
                <w:color w:val="000000"/>
                <w:sz w:val="13"/>
                <w:szCs w:val="13"/>
                <w:lang w:eastAsia="es-CO"/>
              </w:rPr>
              <w:t>Municipio</w:t>
            </w:r>
          </w:p>
        </w:tc>
        <w:tc>
          <w:tcPr>
            <w:tcW w:w="455" w:type="pct"/>
            <w:tcBorders>
              <w:top w:val="single" w:sz="4" w:space="0" w:color="auto"/>
            </w:tcBorders>
            <w:shd w:val="clear" w:color="auto" w:fill="D9D9D9" w:themeFill="background1" w:themeFillShade="D9"/>
            <w:noWrap/>
            <w:vAlign w:val="center"/>
            <w:hideMark/>
          </w:tcPr>
          <w:p w14:paraId="1251E20C" w14:textId="77777777" w:rsidR="008D0D1A" w:rsidRPr="008D0D1A" w:rsidRDefault="008D0D1A" w:rsidP="008D0D1A">
            <w:pPr>
              <w:jc w:val="center"/>
              <w:rPr>
                <w:b/>
                <w:color w:val="000000"/>
                <w:sz w:val="13"/>
                <w:szCs w:val="13"/>
                <w:lang w:val="es-CO" w:eastAsia="es-CO"/>
              </w:rPr>
            </w:pPr>
            <w:r w:rsidRPr="008D0D1A">
              <w:rPr>
                <w:b/>
                <w:color w:val="000000"/>
                <w:sz w:val="13"/>
                <w:szCs w:val="13"/>
                <w:lang w:eastAsia="es-CO"/>
              </w:rPr>
              <w:t>Código UC</w:t>
            </w:r>
          </w:p>
        </w:tc>
        <w:tc>
          <w:tcPr>
            <w:tcW w:w="532" w:type="pct"/>
            <w:tcBorders>
              <w:top w:val="single" w:sz="4" w:space="0" w:color="auto"/>
            </w:tcBorders>
            <w:shd w:val="clear" w:color="auto" w:fill="D9D9D9" w:themeFill="background1" w:themeFillShade="D9"/>
            <w:noWrap/>
            <w:vAlign w:val="center"/>
            <w:hideMark/>
          </w:tcPr>
          <w:p w14:paraId="6A598FF1" w14:textId="77777777" w:rsidR="008D0D1A" w:rsidRPr="008D0D1A" w:rsidRDefault="008D0D1A" w:rsidP="008D0D1A">
            <w:pPr>
              <w:jc w:val="center"/>
              <w:rPr>
                <w:b/>
                <w:color w:val="000000"/>
                <w:sz w:val="13"/>
                <w:szCs w:val="13"/>
                <w:lang w:val="es-CO" w:eastAsia="es-CO"/>
              </w:rPr>
            </w:pPr>
            <w:r w:rsidRPr="008D0D1A">
              <w:rPr>
                <w:b/>
                <w:color w:val="000000"/>
                <w:sz w:val="13"/>
                <w:szCs w:val="13"/>
                <w:lang w:eastAsia="es-CO"/>
              </w:rPr>
              <w:t>Costo unitario</w:t>
            </w:r>
          </w:p>
        </w:tc>
        <w:tc>
          <w:tcPr>
            <w:tcW w:w="530" w:type="pct"/>
            <w:tcBorders>
              <w:top w:val="single" w:sz="4" w:space="0" w:color="auto"/>
            </w:tcBorders>
            <w:shd w:val="clear" w:color="auto" w:fill="D9D9D9" w:themeFill="background1" w:themeFillShade="D9"/>
            <w:noWrap/>
            <w:vAlign w:val="center"/>
            <w:hideMark/>
          </w:tcPr>
          <w:p w14:paraId="08F4097D" w14:textId="77777777" w:rsidR="008D0D1A" w:rsidRPr="008D0D1A" w:rsidRDefault="008D0D1A" w:rsidP="008D0D1A">
            <w:pPr>
              <w:jc w:val="center"/>
              <w:rPr>
                <w:b/>
                <w:color w:val="000000"/>
                <w:sz w:val="13"/>
                <w:szCs w:val="13"/>
                <w:lang w:val="es-CO" w:eastAsia="es-CO"/>
              </w:rPr>
            </w:pPr>
            <w:r w:rsidRPr="008D0D1A">
              <w:rPr>
                <w:b/>
                <w:color w:val="000000"/>
                <w:sz w:val="13"/>
                <w:szCs w:val="13"/>
                <w:lang w:eastAsia="es-CO"/>
              </w:rPr>
              <w:t>Red</w:t>
            </w:r>
          </w:p>
        </w:tc>
        <w:tc>
          <w:tcPr>
            <w:tcW w:w="379" w:type="pct"/>
            <w:tcBorders>
              <w:top w:val="single" w:sz="4" w:space="0" w:color="auto"/>
            </w:tcBorders>
            <w:shd w:val="clear" w:color="auto" w:fill="D9D9D9" w:themeFill="background1" w:themeFillShade="D9"/>
            <w:noWrap/>
            <w:vAlign w:val="center"/>
            <w:hideMark/>
          </w:tcPr>
          <w:p w14:paraId="151CBA55" w14:textId="254D29AE" w:rsidR="008D0D1A" w:rsidRPr="008D0D1A" w:rsidRDefault="008D0D1A" w:rsidP="008D0D1A">
            <w:pPr>
              <w:jc w:val="center"/>
              <w:rPr>
                <w:b/>
                <w:color w:val="000000"/>
                <w:sz w:val="13"/>
                <w:szCs w:val="13"/>
                <w:lang w:val="es-CO" w:eastAsia="es-CO"/>
              </w:rPr>
            </w:pPr>
            <w:proofErr w:type="spellStart"/>
            <w:r w:rsidRPr="008D0D1A">
              <w:rPr>
                <w:b/>
                <w:color w:val="000000"/>
                <w:sz w:val="13"/>
                <w:szCs w:val="13"/>
                <w:lang w:eastAsia="es-CO"/>
              </w:rPr>
              <w:t>Cant</w:t>
            </w:r>
            <w:proofErr w:type="spellEnd"/>
            <w:r w:rsidRPr="008D0D1A">
              <w:rPr>
                <w:b/>
                <w:color w:val="000000"/>
                <w:sz w:val="13"/>
                <w:szCs w:val="13"/>
                <w:lang w:eastAsia="es-CO"/>
              </w:rPr>
              <w:t>.</w:t>
            </w:r>
          </w:p>
        </w:tc>
        <w:tc>
          <w:tcPr>
            <w:tcW w:w="479" w:type="pct"/>
            <w:shd w:val="clear" w:color="auto" w:fill="D9D9D9" w:themeFill="background1" w:themeFillShade="D9"/>
            <w:noWrap/>
            <w:vAlign w:val="center"/>
            <w:hideMark/>
          </w:tcPr>
          <w:p w14:paraId="0A251205" w14:textId="77C07232" w:rsidR="008D0D1A" w:rsidRPr="008D0D1A" w:rsidRDefault="008D0D1A" w:rsidP="0072229C">
            <w:pPr>
              <w:jc w:val="center"/>
              <w:rPr>
                <w:b/>
                <w:color w:val="000000"/>
                <w:sz w:val="13"/>
                <w:szCs w:val="13"/>
                <w:lang w:val="es-CO" w:eastAsia="es-CO"/>
              </w:rPr>
            </w:pPr>
            <w:r w:rsidRPr="008D0D1A">
              <w:rPr>
                <w:b/>
                <w:color w:val="000000"/>
                <w:sz w:val="13"/>
                <w:szCs w:val="13"/>
                <w:lang w:eastAsia="es-CO"/>
              </w:rPr>
              <w:t>Costo (millones dic. 2014)</w:t>
            </w:r>
          </w:p>
        </w:tc>
        <w:tc>
          <w:tcPr>
            <w:tcW w:w="431" w:type="pct"/>
            <w:shd w:val="clear" w:color="auto" w:fill="D9D9D9" w:themeFill="background1" w:themeFillShade="D9"/>
            <w:noWrap/>
            <w:vAlign w:val="center"/>
            <w:hideMark/>
          </w:tcPr>
          <w:p w14:paraId="4B30F3B3" w14:textId="527C1E4A" w:rsidR="008D0D1A" w:rsidRPr="008D0D1A" w:rsidRDefault="008D0D1A" w:rsidP="008D0D1A">
            <w:pPr>
              <w:jc w:val="center"/>
              <w:rPr>
                <w:b/>
                <w:color w:val="000000"/>
                <w:sz w:val="13"/>
                <w:szCs w:val="13"/>
                <w:lang w:val="es-CO" w:eastAsia="es-CO"/>
              </w:rPr>
            </w:pPr>
            <w:proofErr w:type="spellStart"/>
            <w:r w:rsidRPr="008D0D1A">
              <w:rPr>
                <w:b/>
                <w:color w:val="000000"/>
                <w:sz w:val="13"/>
                <w:szCs w:val="13"/>
                <w:lang w:eastAsia="es-CO"/>
              </w:rPr>
              <w:t>Cant</w:t>
            </w:r>
            <w:proofErr w:type="spellEnd"/>
            <w:r w:rsidRPr="008D0D1A">
              <w:rPr>
                <w:b/>
                <w:color w:val="000000"/>
                <w:sz w:val="13"/>
                <w:szCs w:val="13"/>
                <w:lang w:eastAsia="es-CO"/>
              </w:rPr>
              <w:t>.</w:t>
            </w:r>
          </w:p>
        </w:tc>
        <w:tc>
          <w:tcPr>
            <w:tcW w:w="455" w:type="pct"/>
            <w:shd w:val="clear" w:color="auto" w:fill="D9D9D9" w:themeFill="background1" w:themeFillShade="D9"/>
            <w:noWrap/>
            <w:vAlign w:val="center"/>
            <w:hideMark/>
          </w:tcPr>
          <w:p w14:paraId="30020879" w14:textId="77777777" w:rsidR="008D0D1A" w:rsidRPr="008D0D1A" w:rsidRDefault="008D0D1A" w:rsidP="008D0D1A">
            <w:pPr>
              <w:jc w:val="center"/>
              <w:rPr>
                <w:b/>
                <w:color w:val="000000"/>
                <w:sz w:val="13"/>
                <w:szCs w:val="13"/>
                <w:lang w:val="es-CO" w:eastAsia="es-CO"/>
              </w:rPr>
            </w:pPr>
            <w:r w:rsidRPr="008D0D1A">
              <w:rPr>
                <w:b/>
                <w:color w:val="000000"/>
                <w:sz w:val="13"/>
                <w:szCs w:val="13"/>
                <w:lang w:eastAsia="es-CO"/>
              </w:rPr>
              <w:t>Costo (miles de millones dic. 2014)</w:t>
            </w:r>
          </w:p>
        </w:tc>
        <w:tc>
          <w:tcPr>
            <w:tcW w:w="378" w:type="pct"/>
            <w:shd w:val="clear" w:color="auto" w:fill="D9D9D9" w:themeFill="background1" w:themeFillShade="D9"/>
            <w:noWrap/>
            <w:vAlign w:val="center"/>
            <w:hideMark/>
          </w:tcPr>
          <w:p w14:paraId="590BD9C1" w14:textId="5325AE40" w:rsidR="008D0D1A" w:rsidRPr="008D0D1A" w:rsidRDefault="008D0D1A" w:rsidP="008D0D1A">
            <w:pPr>
              <w:jc w:val="center"/>
              <w:rPr>
                <w:b/>
                <w:color w:val="000000"/>
                <w:sz w:val="13"/>
                <w:szCs w:val="13"/>
                <w:lang w:val="es-CO" w:eastAsia="es-CO"/>
              </w:rPr>
            </w:pPr>
            <w:proofErr w:type="spellStart"/>
            <w:r w:rsidRPr="008D0D1A">
              <w:rPr>
                <w:b/>
                <w:color w:val="000000"/>
                <w:sz w:val="13"/>
                <w:szCs w:val="13"/>
                <w:lang w:eastAsia="es-CO"/>
              </w:rPr>
              <w:t>Cant</w:t>
            </w:r>
            <w:proofErr w:type="spellEnd"/>
            <w:r w:rsidRPr="008D0D1A">
              <w:rPr>
                <w:b/>
                <w:color w:val="000000"/>
                <w:sz w:val="13"/>
                <w:szCs w:val="13"/>
                <w:lang w:eastAsia="es-CO"/>
              </w:rPr>
              <w:t>.</w:t>
            </w:r>
          </w:p>
        </w:tc>
        <w:tc>
          <w:tcPr>
            <w:tcW w:w="453" w:type="pct"/>
            <w:shd w:val="clear" w:color="auto" w:fill="D9D9D9" w:themeFill="background1" w:themeFillShade="D9"/>
            <w:noWrap/>
            <w:vAlign w:val="center"/>
            <w:hideMark/>
          </w:tcPr>
          <w:p w14:paraId="36ADAC1D" w14:textId="5A5E7CFC" w:rsidR="008D0D1A" w:rsidRPr="008D0D1A" w:rsidRDefault="008D0D1A" w:rsidP="0072229C">
            <w:pPr>
              <w:jc w:val="center"/>
              <w:rPr>
                <w:b/>
                <w:color w:val="000000"/>
                <w:sz w:val="13"/>
                <w:szCs w:val="13"/>
                <w:lang w:val="es-CO" w:eastAsia="es-CO"/>
              </w:rPr>
            </w:pPr>
            <w:r w:rsidRPr="008D0D1A">
              <w:rPr>
                <w:b/>
                <w:color w:val="000000"/>
                <w:sz w:val="13"/>
                <w:szCs w:val="13"/>
                <w:lang w:eastAsia="es-CO"/>
              </w:rPr>
              <w:t>Costo (millones dic. 2014)</w:t>
            </w:r>
          </w:p>
        </w:tc>
      </w:tr>
      <w:tr w:rsidR="008D0D1A" w:rsidRPr="008D0D1A" w14:paraId="1E24621E" w14:textId="77777777" w:rsidTr="00994812">
        <w:trPr>
          <w:trHeight w:val="227"/>
        </w:trPr>
        <w:tc>
          <w:tcPr>
            <w:tcW w:w="907" w:type="pct"/>
            <w:shd w:val="clear" w:color="auto" w:fill="auto"/>
            <w:noWrap/>
            <w:vAlign w:val="center"/>
            <w:hideMark/>
          </w:tcPr>
          <w:p w14:paraId="74921369" w14:textId="77777777" w:rsidR="008D0D1A" w:rsidRPr="008D0D1A" w:rsidRDefault="008D0D1A" w:rsidP="00994812">
            <w:pPr>
              <w:jc w:val="left"/>
              <w:rPr>
                <w:color w:val="000000"/>
                <w:sz w:val="13"/>
                <w:szCs w:val="13"/>
                <w:lang w:val="es-CO" w:eastAsia="es-CO"/>
              </w:rPr>
            </w:pPr>
            <w:proofErr w:type="spellStart"/>
            <w:r w:rsidRPr="008D0D1A">
              <w:rPr>
                <w:color w:val="000000"/>
                <w:sz w:val="13"/>
                <w:szCs w:val="13"/>
                <w:lang w:val="es-CO" w:eastAsia="es-CO"/>
              </w:rPr>
              <w:t>Baranoa</w:t>
            </w:r>
            <w:proofErr w:type="spellEnd"/>
            <w:r w:rsidRPr="008D0D1A">
              <w:rPr>
                <w:color w:val="000000"/>
                <w:sz w:val="13"/>
                <w:szCs w:val="13"/>
                <w:lang w:val="es-CO" w:eastAsia="es-CO"/>
              </w:rPr>
              <w:t xml:space="preserve"> - Atlántico</w:t>
            </w:r>
          </w:p>
        </w:tc>
        <w:tc>
          <w:tcPr>
            <w:tcW w:w="455" w:type="pct"/>
            <w:shd w:val="clear" w:color="auto" w:fill="auto"/>
            <w:noWrap/>
            <w:vAlign w:val="center"/>
            <w:hideMark/>
          </w:tcPr>
          <w:p w14:paraId="22FFA0CD"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TPE1/2CO</w:t>
            </w:r>
          </w:p>
        </w:tc>
        <w:tc>
          <w:tcPr>
            <w:tcW w:w="532" w:type="pct"/>
            <w:shd w:val="clear" w:color="auto" w:fill="auto"/>
            <w:noWrap/>
            <w:vAlign w:val="center"/>
            <w:hideMark/>
          </w:tcPr>
          <w:p w14:paraId="43C8A37A" w14:textId="2FBBB30B" w:rsidR="008D0D1A" w:rsidRPr="008D0D1A" w:rsidRDefault="008D0D1A" w:rsidP="008D0D1A">
            <w:pPr>
              <w:jc w:val="right"/>
              <w:rPr>
                <w:color w:val="000000"/>
                <w:sz w:val="13"/>
                <w:szCs w:val="13"/>
                <w:lang w:val="es-CO" w:eastAsia="es-CO"/>
              </w:rPr>
            </w:pPr>
            <w:r w:rsidRPr="008D0D1A">
              <w:rPr>
                <w:color w:val="000000"/>
                <w:sz w:val="13"/>
                <w:szCs w:val="13"/>
                <w:lang w:val="es-CO" w:eastAsia="es-CO"/>
              </w:rPr>
              <w:t>23.730.287</w:t>
            </w:r>
          </w:p>
        </w:tc>
        <w:tc>
          <w:tcPr>
            <w:tcW w:w="530" w:type="pct"/>
            <w:shd w:val="clear" w:color="auto" w:fill="auto"/>
            <w:noWrap/>
            <w:vAlign w:val="center"/>
            <w:hideMark/>
          </w:tcPr>
          <w:p w14:paraId="03345258"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Secundaria</w:t>
            </w:r>
          </w:p>
        </w:tc>
        <w:tc>
          <w:tcPr>
            <w:tcW w:w="379" w:type="pct"/>
            <w:shd w:val="clear" w:color="auto" w:fill="auto"/>
            <w:noWrap/>
            <w:vAlign w:val="center"/>
            <w:hideMark/>
          </w:tcPr>
          <w:p w14:paraId="0947B757"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47,96</w:t>
            </w:r>
          </w:p>
        </w:tc>
        <w:tc>
          <w:tcPr>
            <w:tcW w:w="479" w:type="pct"/>
            <w:shd w:val="clear" w:color="auto" w:fill="auto"/>
            <w:noWrap/>
            <w:vAlign w:val="center"/>
            <w:hideMark/>
          </w:tcPr>
          <w:p w14:paraId="1F512F05" w14:textId="52A9B3BB" w:rsidR="008D0D1A" w:rsidRPr="008D0D1A" w:rsidRDefault="008D0D1A" w:rsidP="00994812">
            <w:pPr>
              <w:jc w:val="right"/>
              <w:rPr>
                <w:color w:val="000000"/>
                <w:sz w:val="13"/>
                <w:szCs w:val="13"/>
                <w:lang w:val="es-CO" w:eastAsia="es-CO"/>
              </w:rPr>
            </w:pPr>
            <w:r w:rsidRPr="008D0D1A">
              <w:rPr>
                <w:color w:val="000000"/>
                <w:sz w:val="13"/>
                <w:szCs w:val="13"/>
                <w:lang w:val="es-CO" w:eastAsia="es-CO"/>
              </w:rPr>
              <w:t>1.138,10</w:t>
            </w:r>
          </w:p>
        </w:tc>
        <w:tc>
          <w:tcPr>
            <w:tcW w:w="431" w:type="pct"/>
            <w:shd w:val="clear" w:color="auto" w:fill="auto"/>
            <w:noWrap/>
            <w:vAlign w:val="center"/>
            <w:hideMark/>
          </w:tcPr>
          <w:p w14:paraId="088595F2" w14:textId="4B12A283" w:rsidR="008D0D1A" w:rsidRPr="008D0D1A" w:rsidRDefault="008D0D1A" w:rsidP="00994812">
            <w:pPr>
              <w:jc w:val="right"/>
              <w:rPr>
                <w:color w:val="000000"/>
                <w:sz w:val="13"/>
                <w:szCs w:val="13"/>
                <w:lang w:val="es-CO" w:eastAsia="es-CO"/>
              </w:rPr>
            </w:pPr>
            <w:r w:rsidRPr="008D0D1A">
              <w:rPr>
                <w:color w:val="000000"/>
                <w:sz w:val="13"/>
                <w:szCs w:val="13"/>
                <w:lang w:val="es-CO" w:eastAsia="es-CO"/>
              </w:rPr>
              <w:t>79,6</w:t>
            </w:r>
            <w:r>
              <w:rPr>
                <w:color w:val="000000"/>
                <w:sz w:val="13"/>
                <w:szCs w:val="13"/>
                <w:lang w:val="es-CO" w:eastAsia="es-CO"/>
              </w:rPr>
              <w:t>0</w:t>
            </w:r>
          </w:p>
        </w:tc>
        <w:tc>
          <w:tcPr>
            <w:tcW w:w="455" w:type="pct"/>
            <w:shd w:val="clear" w:color="auto" w:fill="auto"/>
            <w:noWrap/>
            <w:vAlign w:val="center"/>
            <w:hideMark/>
          </w:tcPr>
          <w:p w14:paraId="07D625EB" w14:textId="47260FBD" w:rsidR="008D0D1A" w:rsidRPr="008D0D1A" w:rsidRDefault="008D0D1A" w:rsidP="00994812">
            <w:pPr>
              <w:jc w:val="right"/>
              <w:rPr>
                <w:color w:val="000000"/>
                <w:sz w:val="13"/>
                <w:szCs w:val="13"/>
                <w:lang w:val="es-CO" w:eastAsia="es-CO"/>
              </w:rPr>
            </w:pPr>
            <w:r w:rsidRPr="008D0D1A">
              <w:rPr>
                <w:color w:val="000000"/>
                <w:sz w:val="13"/>
                <w:szCs w:val="13"/>
                <w:lang w:val="es-CO" w:eastAsia="es-CO"/>
              </w:rPr>
              <w:t>1.889</w:t>
            </w:r>
          </w:p>
        </w:tc>
        <w:tc>
          <w:tcPr>
            <w:tcW w:w="378" w:type="pct"/>
            <w:shd w:val="clear" w:color="auto" w:fill="auto"/>
            <w:noWrap/>
            <w:vAlign w:val="center"/>
            <w:hideMark/>
          </w:tcPr>
          <w:p w14:paraId="3D795EA8"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31,64</w:t>
            </w:r>
          </w:p>
        </w:tc>
        <w:tc>
          <w:tcPr>
            <w:tcW w:w="453" w:type="pct"/>
            <w:shd w:val="clear" w:color="auto" w:fill="auto"/>
            <w:noWrap/>
            <w:vAlign w:val="center"/>
            <w:hideMark/>
          </w:tcPr>
          <w:p w14:paraId="743130A7" w14:textId="487B65C3" w:rsidR="008D0D1A" w:rsidRPr="008D0D1A" w:rsidRDefault="008D0D1A" w:rsidP="00994812">
            <w:pPr>
              <w:jc w:val="right"/>
              <w:rPr>
                <w:color w:val="000000"/>
                <w:sz w:val="13"/>
                <w:szCs w:val="13"/>
                <w:lang w:val="es-CO" w:eastAsia="es-CO"/>
              </w:rPr>
            </w:pPr>
            <w:r w:rsidRPr="008D0D1A">
              <w:rPr>
                <w:color w:val="000000"/>
                <w:sz w:val="13"/>
                <w:szCs w:val="13"/>
                <w:lang w:val="es-CO" w:eastAsia="es-CO"/>
              </w:rPr>
              <w:t>-750,83</w:t>
            </w:r>
          </w:p>
        </w:tc>
      </w:tr>
      <w:tr w:rsidR="008D0D1A" w:rsidRPr="008D0D1A" w14:paraId="14FB2237" w14:textId="77777777" w:rsidTr="00994812">
        <w:trPr>
          <w:trHeight w:val="227"/>
        </w:trPr>
        <w:tc>
          <w:tcPr>
            <w:tcW w:w="907" w:type="pct"/>
            <w:shd w:val="clear" w:color="auto" w:fill="auto"/>
            <w:noWrap/>
            <w:vAlign w:val="center"/>
            <w:hideMark/>
          </w:tcPr>
          <w:p w14:paraId="74D4DEA7" w14:textId="77777777" w:rsidR="008D0D1A" w:rsidRPr="008D0D1A" w:rsidRDefault="008D0D1A" w:rsidP="00994812">
            <w:pPr>
              <w:jc w:val="left"/>
              <w:rPr>
                <w:color w:val="000000"/>
                <w:sz w:val="13"/>
                <w:szCs w:val="13"/>
                <w:lang w:val="es-CO" w:eastAsia="es-CO"/>
              </w:rPr>
            </w:pPr>
            <w:proofErr w:type="spellStart"/>
            <w:r w:rsidRPr="008D0D1A">
              <w:rPr>
                <w:color w:val="000000"/>
                <w:sz w:val="13"/>
                <w:szCs w:val="13"/>
                <w:lang w:val="es-CO" w:eastAsia="es-CO"/>
              </w:rPr>
              <w:t>Baranoa</w:t>
            </w:r>
            <w:proofErr w:type="spellEnd"/>
            <w:r w:rsidRPr="008D0D1A">
              <w:rPr>
                <w:color w:val="000000"/>
                <w:sz w:val="13"/>
                <w:szCs w:val="13"/>
                <w:lang w:val="es-CO" w:eastAsia="es-CO"/>
              </w:rPr>
              <w:t xml:space="preserve"> - Atlántico</w:t>
            </w:r>
          </w:p>
        </w:tc>
        <w:tc>
          <w:tcPr>
            <w:tcW w:w="455" w:type="pct"/>
            <w:shd w:val="clear" w:color="auto" w:fill="auto"/>
            <w:noWrap/>
            <w:vAlign w:val="center"/>
            <w:hideMark/>
          </w:tcPr>
          <w:p w14:paraId="256EB0FE"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TPE3/4CO</w:t>
            </w:r>
          </w:p>
        </w:tc>
        <w:tc>
          <w:tcPr>
            <w:tcW w:w="532" w:type="pct"/>
            <w:shd w:val="clear" w:color="auto" w:fill="auto"/>
            <w:noWrap/>
            <w:vAlign w:val="center"/>
            <w:hideMark/>
          </w:tcPr>
          <w:p w14:paraId="2288D1B9" w14:textId="502F8F84" w:rsidR="008D0D1A" w:rsidRPr="008D0D1A" w:rsidRDefault="008D0D1A" w:rsidP="008D0D1A">
            <w:pPr>
              <w:jc w:val="right"/>
              <w:rPr>
                <w:color w:val="000000"/>
                <w:sz w:val="13"/>
                <w:szCs w:val="13"/>
                <w:lang w:val="es-CO" w:eastAsia="es-CO"/>
              </w:rPr>
            </w:pPr>
            <w:r w:rsidRPr="008D0D1A">
              <w:rPr>
                <w:color w:val="000000"/>
                <w:sz w:val="13"/>
                <w:szCs w:val="13"/>
                <w:lang w:val="es-CO" w:eastAsia="es-CO"/>
              </w:rPr>
              <w:t>23.730.287</w:t>
            </w:r>
          </w:p>
        </w:tc>
        <w:tc>
          <w:tcPr>
            <w:tcW w:w="530" w:type="pct"/>
            <w:shd w:val="clear" w:color="auto" w:fill="auto"/>
            <w:noWrap/>
            <w:vAlign w:val="center"/>
            <w:hideMark/>
          </w:tcPr>
          <w:p w14:paraId="75E26AB0"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Secundaria</w:t>
            </w:r>
          </w:p>
        </w:tc>
        <w:tc>
          <w:tcPr>
            <w:tcW w:w="379" w:type="pct"/>
            <w:shd w:val="clear" w:color="auto" w:fill="auto"/>
            <w:noWrap/>
            <w:vAlign w:val="center"/>
            <w:hideMark/>
          </w:tcPr>
          <w:p w14:paraId="0A23E2E5"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40,13</w:t>
            </w:r>
          </w:p>
        </w:tc>
        <w:tc>
          <w:tcPr>
            <w:tcW w:w="479" w:type="pct"/>
            <w:shd w:val="clear" w:color="auto" w:fill="auto"/>
            <w:noWrap/>
            <w:vAlign w:val="center"/>
            <w:hideMark/>
          </w:tcPr>
          <w:p w14:paraId="1DC40F89" w14:textId="26EF748A" w:rsidR="008D0D1A" w:rsidRPr="008D0D1A" w:rsidRDefault="008D0D1A" w:rsidP="00994812">
            <w:pPr>
              <w:jc w:val="right"/>
              <w:rPr>
                <w:color w:val="000000"/>
                <w:sz w:val="13"/>
                <w:szCs w:val="13"/>
                <w:lang w:val="es-CO" w:eastAsia="es-CO"/>
              </w:rPr>
            </w:pPr>
            <w:r w:rsidRPr="008D0D1A">
              <w:rPr>
                <w:color w:val="000000"/>
                <w:sz w:val="13"/>
                <w:szCs w:val="13"/>
                <w:lang w:val="es-CO" w:eastAsia="es-CO"/>
              </w:rPr>
              <w:t>952,30</w:t>
            </w:r>
          </w:p>
        </w:tc>
        <w:tc>
          <w:tcPr>
            <w:tcW w:w="431" w:type="pct"/>
            <w:shd w:val="clear" w:color="auto" w:fill="auto"/>
            <w:noWrap/>
            <w:vAlign w:val="center"/>
            <w:hideMark/>
          </w:tcPr>
          <w:p w14:paraId="0594B1EC" w14:textId="23991230" w:rsidR="008D0D1A" w:rsidRPr="008D0D1A" w:rsidRDefault="008D0D1A" w:rsidP="00994812">
            <w:pPr>
              <w:jc w:val="right"/>
              <w:rPr>
                <w:color w:val="000000"/>
                <w:sz w:val="13"/>
                <w:szCs w:val="13"/>
                <w:lang w:val="es-CO" w:eastAsia="es-CO"/>
              </w:rPr>
            </w:pPr>
            <w:r w:rsidRPr="008D0D1A">
              <w:rPr>
                <w:color w:val="000000"/>
                <w:sz w:val="13"/>
                <w:szCs w:val="13"/>
                <w:lang w:val="es-CO" w:eastAsia="es-CO"/>
              </w:rPr>
              <w:t>46,9</w:t>
            </w:r>
            <w:r>
              <w:rPr>
                <w:color w:val="000000"/>
                <w:sz w:val="13"/>
                <w:szCs w:val="13"/>
                <w:lang w:val="es-CO" w:eastAsia="es-CO"/>
              </w:rPr>
              <w:t>0</w:t>
            </w:r>
          </w:p>
        </w:tc>
        <w:tc>
          <w:tcPr>
            <w:tcW w:w="455" w:type="pct"/>
            <w:shd w:val="clear" w:color="auto" w:fill="auto"/>
            <w:noWrap/>
            <w:vAlign w:val="center"/>
            <w:hideMark/>
          </w:tcPr>
          <w:p w14:paraId="347A5239" w14:textId="56106CA3" w:rsidR="008D0D1A" w:rsidRPr="008D0D1A" w:rsidRDefault="008D0D1A" w:rsidP="00994812">
            <w:pPr>
              <w:jc w:val="right"/>
              <w:rPr>
                <w:color w:val="000000"/>
                <w:sz w:val="13"/>
                <w:szCs w:val="13"/>
                <w:lang w:val="es-CO" w:eastAsia="es-CO"/>
              </w:rPr>
            </w:pPr>
            <w:r w:rsidRPr="008D0D1A">
              <w:rPr>
                <w:color w:val="000000"/>
                <w:sz w:val="13"/>
                <w:szCs w:val="13"/>
                <w:lang w:val="es-CO" w:eastAsia="es-CO"/>
              </w:rPr>
              <w:t>1.113</w:t>
            </w:r>
          </w:p>
        </w:tc>
        <w:tc>
          <w:tcPr>
            <w:tcW w:w="378" w:type="pct"/>
            <w:shd w:val="clear" w:color="auto" w:fill="auto"/>
            <w:noWrap/>
            <w:vAlign w:val="center"/>
            <w:hideMark/>
          </w:tcPr>
          <w:p w14:paraId="53B123FB"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6,77</w:t>
            </w:r>
          </w:p>
        </w:tc>
        <w:tc>
          <w:tcPr>
            <w:tcW w:w="453" w:type="pct"/>
            <w:shd w:val="clear" w:color="auto" w:fill="auto"/>
            <w:noWrap/>
            <w:vAlign w:val="center"/>
            <w:hideMark/>
          </w:tcPr>
          <w:p w14:paraId="4DBE34C4" w14:textId="03A07FA7" w:rsidR="008D0D1A" w:rsidRPr="008D0D1A" w:rsidRDefault="008D0D1A" w:rsidP="00994812">
            <w:pPr>
              <w:jc w:val="right"/>
              <w:rPr>
                <w:color w:val="000000"/>
                <w:sz w:val="13"/>
                <w:szCs w:val="13"/>
                <w:lang w:val="es-CO" w:eastAsia="es-CO"/>
              </w:rPr>
            </w:pPr>
            <w:r w:rsidRPr="008D0D1A">
              <w:rPr>
                <w:color w:val="000000"/>
                <w:sz w:val="13"/>
                <w:szCs w:val="13"/>
                <w:lang w:val="es-CO" w:eastAsia="es-CO"/>
              </w:rPr>
              <w:t>-160,65</w:t>
            </w:r>
          </w:p>
        </w:tc>
      </w:tr>
      <w:tr w:rsidR="008D0D1A" w:rsidRPr="008D0D1A" w14:paraId="70D9AB24" w14:textId="77777777" w:rsidTr="00994812">
        <w:trPr>
          <w:trHeight w:val="227"/>
        </w:trPr>
        <w:tc>
          <w:tcPr>
            <w:tcW w:w="907" w:type="pct"/>
            <w:shd w:val="clear" w:color="auto" w:fill="auto"/>
            <w:noWrap/>
            <w:vAlign w:val="center"/>
            <w:hideMark/>
          </w:tcPr>
          <w:p w14:paraId="015C57C0"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Barranquilla - Atlántico</w:t>
            </w:r>
          </w:p>
        </w:tc>
        <w:tc>
          <w:tcPr>
            <w:tcW w:w="455" w:type="pct"/>
            <w:shd w:val="clear" w:color="auto" w:fill="auto"/>
            <w:noWrap/>
            <w:vAlign w:val="center"/>
            <w:hideMark/>
          </w:tcPr>
          <w:p w14:paraId="4E9F03F7"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TA4AS</w:t>
            </w:r>
          </w:p>
        </w:tc>
        <w:tc>
          <w:tcPr>
            <w:tcW w:w="532" w:type="pct"/>
            <w:shd w:val="clear" w:color="auto" w:fill="auto"/>
            <w:noWrap/>
            <w:vAlign w:val="center"/>
            <w:hideMark/>
          </w:tcPr>
          <w:p w14:paraId="456802CF" w14:textId="68ED323E" w:rsidR="008D0D1A" w:rsidRPr="008D0D1A" w:rsidRDefault="008D0D1A" w:rsidP="008D0D1A">
            <w:pPr>
              <w:jc w:val="right"/>
              <w:rPr>
                <w:color w:val="000000"/>
                <w:sz w:val="13"/>
                <w:szCs w:val="13"/>
                <w:lang w:val="es-CO" w:eastAsia="es-CO"/>
              </w:rPr>
            </w:pPr>
            <w:r w:rsidRPr="008D0D1A">
              <w:rPr>
                <w:color w:val="000000"/>
                <w:sz w:val="13"/>
                <w:szCs w:val="13"/>
                <w:lang w:val="es-CO" w:eastAsia="es-CO"/>
              </w:rPr>
              <w:t>278.678.311</w:t>
            </w:r>
          </w:p>
        </w:tc>
        <w:tc>
          <w:tcPr>
            <w:tcW w:w="530" w:type="pct"/>
            <w:shd w:val="clear" w:color="auto" w:fill="auto"/>
            <w:noWrap/>
            <w:vAlign w:val="center"/>
            <w:hideMark/>
          </w:tcPr>
          <w:p w14:paraId="4240899A"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Primaria</w:t>
            </w:r>
          </w:p>
        </w:tc>
        <w:tc>
          <w:tcPr>
            <w:tcW w:w="379" w:type="pct"/>
            <w:shd w:val="clear" w:color="auto" w:fill="auto"/>
            <w:noWrap/>
            <w:vAlign w:val="center"/>
            <w:hideMark/>
          </w:tcPr>
          <w:p w14:paraId="40EBC0F2"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3,30</w:t>
            </w:r>
          </w:p>
        </w:tc>
        <w:tc>
          <w:tcPr>
            <w:tcW w:w="479" w:type="pct"/>
            <w:shd w:val="clear" w:color="auto" w:fill="auto"/>
            <w:noWrap/>
            <w:vAlign w:val="center"/>
            <w:hideMark/>
          </w:tcPr>
          <w:p w14:paraId="2F55E240" w14:textId="06FD0425" w:rsidR="008D0D1A" w:rsidRPr="008D0D1A" w:rsidRDefault="008D0D1A" w:rsidP="00994812">
            <w:pPr>
              <w:jc w:val="right"/>
              <w:rPr>
                <w:color w:val="000000"/>
                <w:sz w:val="13"/>
                <w:szCs w:val="13"/>
                <w:lang w:val="es-CO" w:eastAsia="es-CO"/>
              </w:rPr>
            </w:pPr>
            <w:r w:rsidRPr="008D0D1A">
              <w:rPr>
                <w:color w:val="000000"/>
                <w:sz w:val="13"/>
                <w:szCs w:val="13"/>
                <w:lang w:val="es-CO" w:eastAsia="es-CO"/>
              </w:rPr>
              <w:t>919,64</w:t>
            </w:r>
          </w:p>
        </w:tc>
        <w:tc>
          <w:tcPr>
            <w:tcW w:w="431" w:type="pct"/>
            <w:shd w:val="clear" w:color="auto" w:fill="auto"/>
            <w:noWrap/>
            <w:vAlign w:val="center"/>
            <w:hideMark/>
          </w:tcPr>
          <w:p w14:paraId="0CD57F07"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10,76</w:t>
            </w:r>
          </w:p>
        </w:tc>
        <w:tc>
          <w:tcPr>
            <w:tcW w:w="455" w:type="pct"/>
            <w:shd w:val="clear" w:color="auto" w:fill="auto"/>
            <w:noWrap/>
            <w:vAlign w:val="center"/>
            <w:hideMark/>
          </w:tcPr>
          <w:p w14:paraId="7576F7D9" w14:textId="6D2A55D0" w:rsidR="008D0D1A" w:rsidRPr="008D0D1A" w:rsidRDefault="008D0D1A" w:rsidP="00994812">
            <w:pPr>
              <w:jc w:val="right"/>
              <w:rPr>
                <w:color w:val="000000"/>
                <w:sz w:val="13"/>
                <w:szCs w:val="13"/>
                <w:lang w:val="es-CO" w:eastAsia="es-CO"/>
              </w:rPr>
            </w:pPr>
            <w:r w:rsidRPr="008D0D1A">
              <w:rPr>
                <w:color w:val="000000"/>
                <w:sz w:val="13"/>
                <w:szCs w:val="13"/>
                <w:lang w:val="es-CO" w:eastAsia="es-CO"/>
              </w:rPr>
              <w:t>2.999</w:t>
            </w:r>
          </w:p>
        </w:tc>
        <w:tc>
          <w:tcPr>
            <w:tcW w:w="378" w:type="pct"/>
            <w:shd w:val="clear" w:color="auto" w:fill="auto"/>
            <w:noWrap/>
            <w:vAlign w:val="center"/>
            <w:hideMark/>
          </w:tcPr>
          <w:p w14:paraId="700F2488"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7,46</w:t>
            </w:r>
          </w:p>
        </w:tc>
        <w:tc>
          <w:tcPr>
            <w:tcW w:w="453" w:type="pct"/>
            <w:shd w:val="clear" w:color="auto" w:fill="auto"/>
            <w:noWrap/>
            <w:vAlign w:val="center"/>
            <w:hideMark/>
          </w:tcPr>
          <w:p w14:paraId="0FF97A68" w14:textId="025D10CE" w:rsidR="008D0D1A" w:rsidRPr="008D0D1A" w:rsidRDefault="008D0D1A" w:rsidP="00994812">
            <w:pPr>
              <w:jc w:val="right"/>
              <w:rPr>
                <w:color w:val="000000"/>
                <w:sz w:val="13"/>
                <w:szCs w:val="13"/>
                <w:lang w:val="es-CO" w:eastAsia="es-CO"/>
              </w:rPr>
            </w:pPr>
            <w:r w:rsidRPr="008D0D1A">
              <w:rPr>
                <w:color w:val="000000"/>
                <w:sz w:val="13"/>
                <w:szCs w:val="13"/>
                <w:lang w:val="es-CO" w:eastAsia="es-CO"/>
              </w:rPr>
              <w:t>-2.078,94</w:t>
            </w:r>
          </w:p>
        </w:tc>
      </w:tr>
      <w:tr w:rsidR="008D0D1A" w:rsidRPr="008D0D1A" w14:paraId="4AD7FA1A" w14:textId="77777777" w:rsidTr="00994812">
        <w:trPr>
          <w:trHeight w:val="227"/>
        </w:trPr>
        <w:tc>
          <w:tcPr>
            <w:tcW w:w="907" w:type="pct"/>
            <w:shd w:val="clear" w:color="auto" w:fill="auto"/>
            <w:noWrap/>
            <w:vAlign w:val="center"/>
            <w:hideMark/>
          </w:tcPr>
          <w:p w14:paraId="6987693B"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Barranquilla - Atlántico</w:t>
            </w:r>
          </w:p>
        </w:tc>
        <w:tc>
          <w:tcPr>
            <w:tcW w:w="455" w:type="pct"/>
            <w:shd w:val="clear" w:color="auto" w:fill="auto"/>
            <w:noWrap/>
            <w:vAlign w:val="center"/>
            <w:hideMark/>
          </w:tcPr>
          <w:p w14:paraId="0ADCDEAB"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TPE2AS</w:t>
            </w:r>
          </w:p>
        </w:tc>
        <w:tc>
          <w:tcPr>
            <w:tcW w:w="532" w:type="pct"/>
            <w:shd w:val="clear" w:color="auto" w:fill="auto"/>
            <w:noWrap/>
            <w:vAlign w:val="center"/>
            <w:hideMark/>
          </w:tcPr>
          <w:p w14:paraId="5656FE9E" w14:textId="0401D539" w:rsidR="008D0D1A" w:rsidRPr="008D0D1A" w:rsidRDefault="008D0D1A" w:rsidP="008D0D1A">
            <w:pPr>
              <w:jc w:val="right"/>
              <w:rPr>
                <w:color w:val="000000"/>
                <w:sz w:val="13"/>
                <w:szCs w:val="13"/>
                <w:lang w:val="es-CO" w:eastAsia="es-CO"/>
              </w:rPr>
            </w:pPr>
            <w:r w:rsidRPr="008D0D1A">
              <w:rPr>
                <w:color w:val="000000"/>
                <w:sz w:val="13"/>
                <w:szCs w:val="13"/>
                <w:lang w:val="es-CO" w:eastAsia="es-CO"/>
              </w:rPr>
              <w:t>54.240.655</w:t>
            </w:r>
          </w:p>
        </w:tc>
        <w:tc>
          <w:tcPr>
            <w:tcW w:w="530" w:type="pct"/>
            <w:shd w:val="clear" w:color="auto" w:fill="auto"/>
            <w:noWrap/>
            <w:vAlign w:val="center"/>
            <w:hideMark/>
          </w:tcPr>
          <w:p w14:paraId="6272CB96"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Primaria</w:t>
            </w:r>
          </w:p>
        </w:tc>
        <w:tc>
          <w:tcPr>
            <w:tcW w:w="379" w:type="pct"/>
            <w:shd w:val="clear" w:color="auto" w:fill="auto"/>
            <w:noWrap/>
            <w:vAlign w:val="center"/>
            <w:hideMark/>
          </w:tcPr>
          <w:p w14:paraId="68F931AD"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199,08</w:t>
            </w:r>
          </w:p>
        </w:tc>
        <w:tc>
          <w:tcPr>
            <w:tcW w:w="479" w:type="pct"/>
            <w:shd w:val="clear" w:color="auto" w:fill="auto"/>
            <w:noWrap/>
            <w:vAlign w:val="center"/>
            <w:hideMark/>
          </w:tcPr>
          <w:p w14:paraId="3AF3A12D" w14:textId="4597EED1" w:rsidR="008D0D1A" w:rsidRPr="008D0D1A" w:rsidRDefault="008D0D1A" w:rsidP="00994812">
            <w:pPr>
              <w:jc w:val="right"/>
              <w:rPr>
                <w:color w:val="000000"/>
                <w:sz w:val="13"/>
                <w:szCs w:val="13"/>
                <w:lang w:val="es-CO" w:eastAsia="es-CO"/>
              </w:rPr>
            </w:pPr>
            <w:r w:rsidRPr="008D0D1A">
              <w:rPr>
                <w:color w:val="000000"/>
                <w:sz w:val="13"/>
                <w:szCs w:val="13"/>
                <w:lang w:val="es-CO" w:eastAsia="es-CO"/>
              </w:rPr>
              <w:t>10.798,23</w:t>
            </w:r>
          </w:p>
        </w:tc>
        <w:tc>
          <w:tcPr>
            <w:tcW w:w="431" w:type="pct"/>
            <w:shd w:val="clear" w:color="auto" w:fill="auto"/>
            <w:noWrap/>
            <w:vAlign w:val="center"/>
            <w:hideMark/>
          </w:tcPr>
          <w:p w14:paraId="2F7B0155" w14:textId="73E18DD7" w:rsidR="008D0D1A" w:rsidRPr="008D0D1A" w:rsidRDefault="008D0D1A" w:rsidP="00994812">
            <w:pPr>
              <w:jc w:val="right"/>
              <w:rPr>
                <w:color w:val="000000"/>
                <w:sz w:val="13"/>
                <w:szCs w:val="13"/>
                <w:lang w:val="es-CO" w:eastAsia="es-CO"/>
              </w:rPr>
            </w:pPr>
            <w:r w:rsidRPr="008D0D1A">
              <w:rPr>
                <w:color w:val="000000"/>
                <w:sz w:val="13"/>
                <w:szCs w:val="13"/>
                <w:lang w:val="es-CO" w:eastAsia="es-CO"/>
              </w:rPr>
              <w:t>199,8</w:t>
            </w:r>
            <w:r>
              <w:rPr>
                <w:color w:val="000000"/>
                <w:sz w:val="13"/>
                <w:szCs w:val="13"/>
                <w:lang w:val="es-CO" w:eastAsia="es-CO"/>
              </w:rPr>
              <w:t>0</w:t>
            </w:r>
          </w:p>
        </w:tc>
        <w:tc>
          <w:tcPr>
            <w:tcW w:w="455" w:type="pct"/>
            <w:shd w:val="clear" w:color="auto" w:fill="auto"/>
            <w:noWrap/>
            <w:vAlign w:val="center"/>
            <w:hideMark/>
          </w:tcPr>
          <w:p w14:paraId="1CEEE662" w14:textId="6A6C644D" w:rsidR="008D0D1A" w:rsidRPr="008D0D1A" w:rsidRDefault="008D0D1A" w:rsidP="00994812">
            <w:pPr>
              <w:jc w:val="right"/>
              <w:rPr>
                <w:color w:val="000000"/>
                <w:sz w:val="13"/>
                <w:szCs w:val="13"/>
                <w:lang w:val="es-CO" w:eastAsia="es-CO"/>
              </w:rPr>
            </w:pPr>
            <w:r w:rsidRPr="008D0D1A">
              <w:rPr>
                <w:color w:val="000000"/>
                <w:sz w:val="13"/>
                <w:szCs w:val="13"/>
                <w:lang w:val="es-CO" w:eastAsia="es-CO"/>
              </w:rPr>
              <w:t>10.837</w:t>
            </w:r>
          </w:p>
        </w:tc>
        <w:tc>
          <w:tcPr>
            <w:tcW w:w="378" w:type="pct"/>
            <w:shd w:val="clear" w:color="auto" w:fill="auto"/>
            <w:noWrap/>
            <w:vAlign w:val="center"/>
            <w:hideMark/>
          </w:tcPr>
          <w:p w14:paraId="1409028A"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0,72</w:t>
            </w:r>
          </w:p>
        </w:tc>
        <w:tc>
          <w:tcPr>
            <w:tcW w:w="453" w:type="pct"/>
            <w:shd w:val="clear" w:color="auto" w:fill="auto"/>
            <w:noWrap/>
            <w:vAlign w:val="center"/>
            <w:hideMark/>
          </w:tcPr>
          <w:p w14:paraId="38B31FCE" w14:textId="59EFD8D0" w:rsidR="008D0D1A" w:rsidRPr="008D0D1A" w:rsidRDefault="008D0D1A" w:rsidP="00994812">
            <w:pPr>
              <w:jc w:val="right"/>
              <w:rPr>
                <w:color w:val="000000"/>
                <w:sz w:val="13"/>
                <w:szCs w:val="13"/>
                <w:lang w:val="es-CO" w:eastAsia="es-CO"/>
              </w:rPr>
            </w:pPr>
            <w:r w:rsidRPr="008D0D1A">
              <w:rPr>
                <w:color w:val="000000"/>
                <w:sz w:val="13"/>
                <w:szCs w:val="13"/>
                <w:lang w:val="es-CO" w:eastAsia="es-CO"/>
              </w:rPr>
              <w:t>-39,05</w:t>
            </w:r>
          </w:p>
        </w:tc>
      </w:tr>
      <w:tr w:rsidR="008D0D1A" w:rsidRPr="008D0D1A" w14:paraId="2A0E9EE5" w14:textId="77777777" w:rsidTr="00994812">
        <w:trPr>
          <w:trHeight w:val="227"/>
        </w:trPr>
        <w:tc>
          <w:tcPr>
            <w:tcW w:w="907" w:type="pct"/>
            <w:shd w:val="clear" w:color="auto" w:fill="auto"/>
            <w:noWrap/>
            <w:vAlign w:val="center"/>
            <w:hideMark/>
          </w:tcPr>
          <w:p w14:paraId="5AA2903C"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Barranquilla - Atlántico</w:t>
            </w:r>
          </w:p>
        </w:tc>
        <w:tc>
          <w:tcPr>
            <w:tcW w:w="455" w:type="pct"/>
            <w:shd w:val="clear" w:color="auto" w:fill="auto"/>
            <w:noWrap/>
            <w:vAlign w:val="center"/>
            <w:hideMark/>
          </w:tcPr>
          <w:p w14:paraId="29843101"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TA4AS</w:t>
            </w:r>
          </w:p>
        </w:tc>
        <w:tc>
          <w:tcPr>
            <w:tcW w:w="532" w:type="pct"/>
            <w:shd w:val="clear" w:color="auto" w:fill="auto"/>
            <w:noWrap/>
            <w:vAlign w:val="center"/>
            <w:hideMark/>
          </w:tcPr>
          <w:p w14:paraId="4F58B9B8" w14:textId="6CEEE508" w:rsidR="008D0D1A" w:rsidRPr="008D0D1A" w:rsidRDefault="008D0D1A" w:rsidP="008D0D1A">
            <w:pPr>
              <w:jc w:val="right"/>
              <w:rPr>
                <w:color w:val="000000"/>
                <w:sz w:val="13"/>
                <w:szCs w:val="13"/>
                <w:lang w:val="es-CO" w:eastAsia="es-CO"/>
              </w:rPr>
            </w:pPr>
            <w:r w:rsidRPr="008D0D1A">
              <w:rPr>
                <w:color w:val="000000"/>
                <w:sz w:val="13"/>
                <w:szCs w:val="13"/>
                <w:lang w:val="es-CO" w:eastAsia="es-CO"/>
              </w:rPr>
              <w:t>180.759.646</w:t>
            </w:r>
          </w:p>
        </w:tc>
        <w:tc>
          <w:tcPr>
            <w:tcW w:w="530" w:type="pct"/>
            <w:shd w:val="clear" w:color="auto" w:fill="auto"/>
            <w:noWrap/>
            <w:vAlign w:val="center"/>
            <w:hideMark/>
          </w:tcPr>
          <w:p w14:paraId="19D9B731"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Primaria</w:t>
            </w:r>
          </w:p>
        </w:tc>
        <w:tc>
          <w:tcPr>
            <w:tcW w:w="379" w:type="pct"/>
            <w:shd w:val="clear" w:color="auto" w:fill="auto"/>
            <w:noWrap/>
            <w:vAlign w:val="center"/>
            <w:hideMark/>
          </w:tcPr>
          <w:p w14:paraId="50558321"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7,46</w:t>
            </w:r>
          </w:p>
        </w:tc>
        <w:tc>
          <w:tcPr>
            <w:tcW w:w="479" w:type="pct"/>
            <w:shd w:val="clear" w:color="auto" w:fill="auto"/>
            <w:noWrap/>
            <w:vAlign w:val="center"/>
            <w:hideMark/>
          </w:tcPr>
          <w:p w14:paraId="7B9468E5" w14:textId="7E6D7D04" w:rsidR="008D0D1A" w:rsidRPr="008D0D1A" w:rsidRDefault="008D0D1A" w:rsidP="00994812">
            <w:pPr>
              <w:jc w:val="right"/>
              <w:rPr>
                <w:color w:val="000000"/>
                <w:sz w:val="13"/>
                <w:szCs w:val="13"/>
                <w:lang w:val="es-CO" w:eastAsia="es-CO"/>
              </w:rPr>
            </w:pPr>
            <w:r w:rsidRPr="008D0D1A">
              <w:rPr>
                <w:color w:val="000000"/>
                <w:sz w:val="13"/>
                <w:szCs w:val="13"/>
                <w:lang w:val="es-CO" w:eastAsia="es-CO"/>
              </w:rPr>
              <w:t>1.348,47</w:t>
            </w:r>
          </w:p>
        </w:tc>
        <w:tc>
          <w:tcPr>
            <w:tcW w:w="431" w:type="pct"/>
            <w:shd w:val="clear" w:color="auto" w:fill="auto"/>
            <w:noWrap/>
            <w:vAlign w:val="center"/>
            <w:hideMark/>
          </w:tcPr>
          <w:p w14:paraId="07890637" w14:textId="42985124" w:rsidR="008D0D1A" w:rsidRPr="008D0D1A" w:rsidRDefault="008D0D1A" w:rsidP="00994812">
            <w:pPr>
              <w:jc w:val="right"/>
              <w:rPr>
                <w:color w:val="000000"/>
                <w:sz w:val="13"/>
                <w:szCs w:val="13"/>
                <w:lang w:val="es-CO" w:eastAsia="es-CO"/>
              </w:rPr>
            </w:pPr>
            <w:r w:rsidRPr="008D0D1A">
              <w:rPr>
                <w:color w:val="000000"/>
                <w:sz w:val="13"/>
                <w:szCs w:val="13"/>
                <w:lang w:val="es-CO" w:eastAsia="es-CO"/>
              </w:rPr>
              <w:t>10,76</w:t>
            </w:r>
          </w:p>
        </w:tc>
        <w:tc>
          <w:tcPr>
            <w:tcW w:w="455" w:type="pct"/>
            <w:shd w:val="clear" w:color="auto" w:fill="auto"/>
            <w:noWrap/>
            <w:vAlign w:val="center"/>
            <w:hideMark/>
          </w:tcPr>
          <w:p w14:paraId="2EC02A8C" w14:textId="4F6E9FD1" w:rsidR="008D0D1A" w:rsidRPr="008D0D1A" w:rsidRDefault="008D0D1A" w:rsidP="00994812">
            <w:pPr>
              <w:jc w:val="right"/>
              <w:rPr>
                <w:color w:val="000000"/>
                <w:sz w:val="13"/>
                <w:szCs w:val="13"/>
                <w:lang w:val="es-CO" w:eastAsia="es-CO"/>
              </w:rPr>
            </w:pPr>
            <w:r w:rsidRPr="008D0D1A">
              <w:rPr>
                <w:color w:val="000000"/>
                <w:sz w:val="13"/>
                <w:szCs w:val="13"/>
                <w:lang w:val="es-CO" w:eastAsia="es-CO"/>
              </w:rPr>
              <w:t>1.945</w:t>
            </w:r>
          </w:p>
        </w:tc>
        <w:tc>
          <w:tcPr>
            <w:tcW w:w="378" w:type="pct"/>
            <w:shd w:val="clear" w:color="auto" w:fill="auto"/>
            <w:noWrap/>
            <w:vAlign w:val="center"/>
            <w:hideMark/>
          </w:tcPr>
          <w:p w14:paraId="1D2D0A0A"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3,30</w:t>
            </w:r>
          </w:p>
        </w:tc>
        <w:tc>
          <w:tcPr>
            <w:tcW w:w="453" w:type="pct"/>
            <w:shd w:val="clear" w:color="auto" w:fill="auto"/>
            <w:noWrap/>
            <w:vAlign w:val="center"/>
            <w:hideMark/>
          </w:tcPr>
          <w:p w14:paraId="63E6D88E" w14:textId="224C443D" w:rsidR="008D0D1A" w:rsidRPr="008D0D1A" w:rsidRDefault="008D0D1A" w:rsidP="00994812">
            <w:pPr>
              <w:jc w:val="right"/>
              <w:rPr>
                <w:color w:val="000000"/>
                <w:sz w:val="13"/>
                <w:szCs w:val="13"/>
                <w:lang w:val="es-CO" w:eastAsia="es-CO"/>
              </w:rPr>
            </w:pPr>
            <w:r w:rsidRPr="008D0D1A">
              <w:rPr>
                <w:color w:val="000000"/>
                <w:sz w:val="13"/>
                <w:szCs w:val="13"/>
                <w:lang w:val="es-CO" w:eastAsia="es-CO"/>
              </w:rPr>
              <w:t>-596,51</w:t>
            </w:r>
          </w:p>
        </w:tc>
      </w:tr>
      <w:tr w:rsidR="008D0D1A" w:rsidRPr="008D0D1A" w14:paraId="565BB744" w14:textId="77777777" w:rsidTr="00994812">
        <w:trPr>
          <w:trHeight w:val="227"/>
        </w:trPr>
        <w:tc>
          <w:tcPr>
            <w:tcW w:w="907" w:type="pct"/>
            <w:shd w:val="clear" w:color="auto" w:fill="auto"/>
            <w:noWrap/>
            <w:vAlign w:val="center"/>
            <w:hideMark/>
          </w:tcPr>
          <w:p w14:paraId="0DF292D5"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La Paz - Cesar</w:t>
            </w:r>
          </w:p>
        </w:tc>
        <w:tc>
          <w:tcPr>
            <w:tcW w:w="455" w:type="pct"/>
            <w:shd w:val="clear" w:color="auto" w:fill="auto"/>
            <w:noWrap/>
            <w:vAlign w:val="center"/>
            <w:hideMark/>
          </w:tcPr>
          <w:p w14:paraId="2DF7AE7A"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TPE3/4CO</w:t>
            </w:r>
          </w:p>
        </w:tc>
        <w:tc>
          <w:tcPr>
            <w:tcW w:w="532" w:type="pct"/>
            <w:shd w:val="clear" w:color="auto" w:fill="auto"/>
            <w:noWrap/>
            <w:vAlign w:val="center"/>
            <w:hideMark/>
          </w:tcPr>
          <w:p w14:paraId="11ED4189" w14:textId="14FC0F09" w:rsidR="008D0D1A" w:rsidRPr="008D0D1A" w:rsidRDefault="008D0D1A" w:rsidP="008D0D1A">
            <w:pPr>
              <w:jc w:val="right"/>
              <w:rPr>
                <w:color w:val="000000"/>
                <w:sz w:val="13"/>
                <w:szCs w:val="13"/>
                <w:lang w:val="es-CO" w:eastAsia="es-CO"/>
              </w:rPr>
            </w:pPr>
            <w:r w:rsidRPr="008D0D1A">
              <w:rPr>
                <w:color w:val="000000"/>
                <w:sz w:val="13"/>
                <w:szCs w:val="13"/>
                <w:lang w:val="es-CO" w:eastAsia="es-CO"/>
              </w:rPr>
              <w:t>23.730.287</w:t>
            </w:r>
          </w:p>
        </w:tc>
        <w:tc>
          <w:tcPr>
            <w:tcW w:w="530" w:type="pct"/>
            <w:shd w:val="clear" w:color="auto" w:fill="auto"/>
            <w:noWrap/>
            <w:vAlign w:val="center"/>
            <w:hideMark/>
          </w:tcPr>
          <w:p w14:paraId="55F7D59F"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Secundaria</w:t>
            </w:r>
          </w:p>
        </w:tc>
        <w:tc>
          <w:tcPr>
            <w:tcW w:w="379" w:type="pct"/>
            <w:shd w:val="clear" w:color="auto" w:fill="auto"/>
            <w:noWrap/>
            <w:vAlign w:val="center"/>
            <w:hideMark/>
          </w:tcPr>
          <w:p w14:paraId="1FCB1F16"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48,14</w:t>
            </w:r>
          </w:p>
        </w:tc>
        <w:tc>
          <w:tcPr>
            <w:tcW w:w="479" w:type="pct"/>
            <w:shd w:val="clear" w:color="auto" w:fill="auto"/>
            <w:noWrap/>
            <w:vAlign w:val="center"/>
            <w:hideMark/>
          </w:tcPr>
          <w:p w14:paraId="4E745F2A" w14:textId="74DBCC8E" w:rsidR="008D0D1A" w:rsidRPr="008D0D1A" w:rsidRDefault="008D0D1A" w:rsidP="00994812">
            <w:pPr>
              <w:jc w:val="right"/>
              <w:rPr>
                <w:color w:val="000000"/>
                <w:sz w:val="13"/>
                <w:szCs w:val="13"/>
                <w:lang w:val="es-CO" w:eastAsia="es-CO"/>
              </w:rPr>
            </w:pPr>
            <w:r w:rsidRPr="008D0D1A">
              <w:rPr>
                <w:color w:val="000000"/>
                <w:sz w:val="13"/>
                <w:szCs w:val="13"/>
                <w:lang w:val="es-CO" w:eastAsia="es-CO"/>
              </w:rPr>
              <w:t>1.142,38</w:t>
            </w:r>
          </w:p>
        </w:tc>
        <w:tc>
          <w:tcPr>
            <w:tcW w:w="431" w:type="pct"/>
            <w:shd w:val="clear" w:color="auto" w:fill="auto"/>
            <w:noWrap/>
            <w:vAlign w:val="center"/>
            <w:hideMark/>
          </w:tcPr>
          <w:p w14:paraId="6173B5BB" w14:textId="5F4E6F13" w:rsidR="008D0D1A" w:rsidRPr="008D0D1A" w:rsidRDefault="008D0D1A" w:rsidP="00994812">
            <w:pPr>
              <w:jc w:val="right"/>
              <w:rPr>
                <w:color w:val="000000"/>
                <w:sz w:val="13"/>
                <w:szCs w:val="13"/>
                <w:lang w:val="es-CO" w:eastAsia="es-CO"/>
              </w:rPr>
            </w:pPr>
            <w:r w:rsidRPr="008D0D1A">
              <w:rPr>
                <w:color w:val="000000"/>
                <w:sz w:val="13"/>
                <w:szCs w:val="13"/>
                <w:lang w:val="es-CO" w:eastAsia="es-CO"/>
              </w:rPr>
              <w:t>48,7</w:t>
            </w:r>
            <w:r>
              <w:rPr>
                <w:color w:val="000000"/>
                <w:sz w:val="13"/>
                <w:szCs w:val="13"/>
                <w:lang w:val="es-CO" w:eastAsia="es-CO"/>
              </w:rPr>
              <w:t>0</w:t>
            </w:r>
          </w:p>
        </w:tc>
        <w:tc>
          <w:tcPr>
            <w:tcW w:w="455" w:type="pct"/>
            <w:shd w:val="clear" w:color="auto" w:fill="auto"/>
            <w:noWrap/>
            <w:vAlign w:val="center"/>
            <w:hideMark/>
          </w:tcPr>
          <w:p w14:paraId="2F0FC138" w14:textId="4860823B" w:rsidR="008D0D1A" w:rsidRPr="008D0D1A" w:rsidRDefault="008D0D1A" w:rsidP="00994812">
            <w:pPr>
              <w:jc w:val="right"/>
              <w:rPr>
                <w:color w:val="000000"/>
                <w:sz w:val="13"/>
                <w:szCs w:val="13"/>
                <w:lang w:val="es-CO" w:eastAsia="es-CO"/>
              </w:rPr>
            </w:pPr>
            <w:r w:rsidRPr="008D0D1A">
              <w:rPr>
                <w:color w:val="000000"/>
                <w:sz w:val="13"/>
                <w:szCs w:val="13"/>
                <w:lang w:val="es-CO" w:eastAsia="es-CO"/>
              </w:rPr>
              <w:t>1.156</w:t>
            </w:r>
          </w:p>
        </w:tc>
        <w:tc>
          <w:tcPr>
            <w:tcW w:w="378" w:type="pct"/>
            <w:shd w:val="clear" w:color="auto" w:fill="auto"/>
            <w:noWrap/>
            <w:vAlign w:val="center"/>
            <w:hideMark/>
          </w:tcPr>
          <w:p w14:paraId="0A74459B"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0,56</w:t>
            </w:r>
          </w:p>
        </w:tc>
        <w:tc>
          <w:tcPr>
            <w:tcW w:w="453" w:type="pct"/>
            <w:shd w:val="clear" w:color="auto" w:fill="auto"/>
            <w:noWrap/>
            <w:vAlign w:val="center"/>
            <w:hideMark/>
          </w:tcPr>
          <w:p w14:paraId="299F10FE" w14:textId="45AC42A4" w:rsidR="008D0D1A" w:rsidRPr="008D0D1A" w:rsidRDefault="008D0D1A" w:rsidP="00994812">
            <w:pPr>
              <w:jc w:val="right"/>
              <w:rPr>
                <w:color w:val="000000"/>
                <w:sz w:val="13"/>
                <w:szCs w:val="13"/>
                <w:lang w:val="es-CO" w:eastAsia="es-CO"/>
              </w:rPr>
            </w:pPr>
            <w:r w:rsidRPr="008D0D1A">
              <w:rPr>
                <w:color w:val="000000"/>
                <w:sz w:val="13"/>
                <w:szCs w:val="13"/>
                <w:lang w:val="es-CO" w:eastAsia="es-CO"/>
              </w:rPr>
              <w:t>-13,29</w:t>
            </w:r>
          </w:p>
        </w:tc>
      </w:tr>
      <w:tr w:rsidR="008D0D1A" w:rsidRPr="008D0D1A" w14:paraId="36463EA4" w14:textId="77777777" w:rsidTr="00994812">
        <w:trPr>
          <w:trHeight w:val="227"/>
        </w:trPr>
        <w:tc>
          <w:tcPr>
            <w:tcW w:w="907" w:type="pct"/>
            <w:shd w:val="clear" w:color="auto" w:fill="auto"/>
            <w:noWrap/>
            <w:vAlign w:val="center"/>
            <w:hideMark/>
          </w:tcPr>
          <w:p w14:paraId="17928120"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Valledupar - Cesar</w:t>
            </w:r>
          </w:p>
        </w:tc>
        <w:tc>
          <w:tcPr>
            <w:tcW w:w="455" w:type="pct"/>
            <w:shd w:val="clear" w:color="auto" w:fill="auto"/>
            <w:noWrap/>
            <w:vAlign w:val="center"/>
            <w:hideMark/>
          </w:tcPr>
          <w:p w14:paraId="6A705ECC"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TPE3AS</w:t>
            </w:r>
          </w:p>
        </w:tc>
        <w:tc>
          <w:tcPr>
            <w:tcW w:w="532" w:type="pct"/>
            <w:shd w:val="clear" w:color="auto" w:fill="auto"/>
            <w:noWrap/>
            <w:vAlign w:val="center"/>
            <w:hideMark/>
          </w:tcPr>
          <w:p w14:paraId="73F19E75" w14:textId="5555910F" w:rsidR="008D0D1A" w:rsidRPr="008D0D1A" w:rsidRDefault="008D0D1A" w:rsidP="008D0D1A">
            <w:pPr>
              <w:jc w:val="right"/>
              <w:rPr>
                <w:color w:val="000000"/>
                <w:sz w:val="13"/>
                <w:szCs w:val="13"/>
                <w:lang w:val="es-CO" w:eastAsia="es-CO"/>
              </w:rPr>
            </w:pPr>
            <w:r w:rsidRPr="008D0D1A">
              <w:rPr>
                <w:color w:val="000000"/>
                <w:sz w:val="13"/>
                <w:szCs w:val="13"/>
                <w:lang w:val="es-CO" w:eastAsia="es-CO"/>
              </w:rPr>
              <w:t>54.240.655</w:t>
            </w:r>
          </w:p>
        </w:tc>
        <w:tc>
          <w:tcPr>
            <w:tcW w:w="530" w:type="pct"/>
            <w:shd w:val="clear" w:color="auto" w:fill="auto"/>
            <w:noWrap/>
            <w:vAlign w:val="center"/>
            <w:hideMark/>
          </w:tcPr>
          <w:p w14:paraId="1758F35B"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Primaria</w:t>
            </w:r>
          </w:p>
        </w:tc>
        <w:tc>
          <w:tcPr>
            <w:tcW w:w="379" w:type="pct"/>
            <w:shd w:val="clear" w:color="auto" w:fill="auto"/>
            <w:noWrap/>
            <w:vAlign w:val="center"/>
            <w:hideMark/>
          </w:tcPr>
          <w:p w14:paraId="4A7C9F7B"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0,02</w:t>
            </w:r>
          </w:p>
        </w:tc>
        <w:tc>
          <w:tcPr>
            <w:tcW w:w="479" w:type="pct"/>
            <w:shd w:val="clear" w:color="auto" w:fill="auto"/>
            <w:noWrap/>
            <w:vAlign w:val="center"/>
            <w:hideMark/>
          </w:tcPr>
          <w:p w14:paraId="29FF1F15" w14:textId="06D8C2C4" w:rsidR="008D0D1A" w:rsidRPr="008D0D1A" w:rsidRDefault="008D0D1A" w:rsidP="00994812">
            <w:pPr>
              <w:jc w:val="right"/>
              <w:rPr>
                <w:color w:val="000000"/>
                <w:sz w:val="13"/>
                <w:szCs w:val="13"/>
                <w:lang w:val="es-CO" w:eastAsia="es-CO"/>
              </w:rPr>
            </w:pPr>
            <w:r w:rsidRPr="008D0D1A">
              <w:rPr>
                <w:color w:val="000000"/>
                <w:sz w:val="13"/>
                <w:szCs w:val="13"/>
                <w:lang w:val="es-CO" w:eastAsia="es-CO"/>
              </w:rPr>
              <w:t>1,08</w:t>
            </w:r>
          </w:p>
        </w:tc>
        <w:tc>
          <w:tcPr>
            <w:tcW w:w="431" w:type="pct"/>
            <w:shd w:val="clear" w:color="auto" w:fill="auto"/>
            <w:noWrap/>
            <w:vAlign w:val="center"/>
            <w:hideMark/>
          </w:tcPr>
          <w:p w14:paraId="3B582399" w14:textId="729D0382" w:rsidR="008D0D1A" w:rsidRPr="008D0D1A" w:rsidRDefault="008D0D1A" w:rsidP="00994812">
            <w:pPr>
              <w:jc w:val="right"/>
              <w:rPr>
                <w:color w:val="000000"/>
                <w:sz w:val="13"/>
                <w:szCs w:val="13"/>
                <w:lang w:val="es-CO" w:eastAsia="es-CO"/>
              </w:rPr>
            </w:pPr>
            <w:r w:rsidRPr="008D0D1A">
              <w:rPr>
                <w:color w:val="000000"/>
                <w:sz w:val="13"/>
                <w:szCs w:val="13"/>
                <w:lang w:val="es-CO" w:eastAsia="es-CO"/>
              </w:rPr>
              <w:t>9,3</w:t>
            </w:r>
            <w:r>
              <w:rPr>
                <w:color w:val="000000"/>
                <w:sz w:val="13"/>
                <w:szCs w:val="13"/>
                <w:lang w:val="es-CO" w:eastAsia="es-CO"/>
              </w:rPr>
              <w:t>0</w:t>
            </w:r>
          </w:p>
        </w:tc>
        <w:tc>
          <w:tcPr>
            <w:tcW w:w="455" w:type="pct"/>
            <w:shd w:val="clear" w:color="auto" w:fill="auto"/>
            <w:noWrap/>
            <w:vAlign w:val="center"/>
            <w:hideMark/>
          </w:tcPr>
          <w:p w14:paraId="3F5A7C8C" w14:textId="5E493816" w:rsidR="008D0D1A" w:rsidRPr="008D0D1A" w:rsidRDefault="008D0D1A" w:rsidP="00994812">
            <w:pPr>
              <w:jc w:val="right"/>
              <w:rPr>
                <w:color w:val="000000"/>
                <w:sz w:val="13"/>
                <w:szCs w:val="13"/>
                <w:lang w:val="es-CO" w:eastAsia="es-CO"/>
              </w:rPr>
            </w:pPr>
            <w:r w:rsidRPr="008D0D1A">
              <w:rPr>
                <w:color w:val="000000"/>
                <w:sz w:val="13"/>
                <w:szCs w:val="13"/>
                <w:lang w:val="es-CO" w:eastAsia="es-CO"/>
              </w:rPr>
              <w:t>504</w:t>
            </w:r>
          </w:p>
        </w:tc>
        <w:tc>
          <w:tcPr>
            <w:tcW w:w="378" w:type="pct"/>
            <w:shd w:val="clear" w:color="auto" w:fill="auto"/>
            <w:noWrap/>
            <w:vAlign w:val="center"/>
            <w:hideMark/>
          </w:tcPr>
          <w:p w14:paraId="0D68EA25"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9,28</w:t>
            </w:r>
          </w:p>
        </w:tc>
        <w:tc>
          <w:tcPr>
            <w:tcW w:w="453" w:type="pct"/>
            <w:shd w:val="clear" w:color="auto" w:fill="auto"/>
            <w:noWrap/>
            <w:vAlign w:val="center"/>
            <w:hideMark/>
          </w:tcPr>
          <w:p w14:paraId="0CEB3468" w14:textId="0AED413D" w:rsidR="008D0D1A" w:rsidRPr="008D0D1A" w:rsidRDefault="008D0D1A" w:rsidP="00994812">
            <w:pPr>
              <w:jc w:val="right"/>
              <w:rPr>
                <w:color w:val="000000"/>
                <w:sz w:val="13"/>
                <w:szCs w:val="13"/>
                <w:lang w:val="es-CO" w:eastAsia="es-CO"/>
              </w:rPr>
            </w:pPr>
            <w:r w:rsidRPr="008D0D1A">
              <w:rPr>
                <w:color w:val="000000"/>
                <w:sz w:val="13"/>
                <w:szCs w:val="13"/>
                <w:lang w:val="es-CO" w:eastAsia="es-CO"/>
              </w:rPr>
              <w:t>-503,35</w:t>
            </w:r>
          </w:p>
        </w:tc>
      </w:tr>
      <w:tr w:rsidR="008D0D1A" w:rsidRPr="008D0D1A" w14:paraId="16D6D593" w14:textId="77777777" w:rsidTr="00994812">
        <w:trPr>
          <w:trHeight w:val="227"/>
        </w:trPr>
        <w:tc>
          <w:tcPr>
            <w:tcW w:w="907" w:type="pct"/>
            <w:shd w:val="clear" w:color="auto" w:fill="auto"/>
            <w:noWrap/>
            <w:vAlign w:val="center"/>
            <w:hideMark/>
          </w:tcPr>
          <w:p w14:paraId="3FDDF0A5"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Valledupar - Cesar</w:t>
            </w:r>
          </w:p>
        </w:tc>
        <w:tc>
          <w:tcPr>
            <w:tcW w:w="455" w:type="pct"/>
            <w:shd w:val="clear" w:color="auto" w:fill="auto"/>
            <w:noWrap/>
            <w:vAlign w:val="center"/>
            <w:hideMark/>
          </w:tcPr>
          <w:p w14:paraId="4065C654"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TPE4AS</w:t>
            </w:r>
          </w:p>
        </w:tc>
        <w:tc>
          <w:tcPr>
            <w:tcW w:w="532" w:type="pct"/>
            <w:shd w:val="clear" w:color="auto" w:fill="auto"/>
            <w:noWrap/>
            <w:vAlign w:val="center"/>
            <w:hideMark/>
          </w:tcPr>
          <w:p w14:paraId="1B765CEF" w14:textId="1CE7D08E" w:rsidR="008D0D1A" w:rsidRPr="008D0D1A" w:rsidRDefault="008D0D1A" w:rsidP="008D0D1A">
            <w:pPr>
              <w:jc w:val="right"/>
              <w:rPr>
                <w:color w:val="000000"/>
                <w:sz w:val="13"/>
                <w:szCs w:val="13"/>
                <w:lang w:val="es-CO" w:eastAsia="es-CO"/>
              </w:rPr>
            </w:pPr>
            <w:r w:rsidRPr="008D0D1A">
              <w:rPr>
                <w:color w:val="000000"/>
                <w:sz w:val="13"/>
                <w:szCs w:val="13"/>
                <w:lang w:val="es-CO" w:eastAsia="es-CO"/>
              </w:rPr>
              <w:t>54.240.655</w:t>
            </w:r>
          </w:p>
        </w:tc>
        <w:tc>
          <w:tcPr>
            <w:tcW w:w="530" w:type="pct"/>
            <w:shd w:val="clear" w:color="auto" w:fill="auto"/>
            <w:noWrap/>
            <w:vAlign w:val="center"/>
            <w:hideMark/>
          </w:tcPr>
          <w:p w14:paraId="26D7FD31"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Primaria</w:t>
            </w:r>
          </w:p>
        </w:tc>
        <w:tc>
          <w:tcPr>
            <w:tcW w:w="379" w:type="pct"/>
            <w:shd w:val="clear" w:color="auto" w:fill="auto"/>
            <w:noWrap/>
            <w:vAlign w:val="center"/>
            <w:hideMark/>
          </w:tcPr>
          <w:p w14:paraId="4718F566"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0,01</w:t>
            </w:r>
          </w:p>
        </w:tc>
        <w:tc>
          <w:tcPr>
            <w:tcW w:w="479" w:type="pct"/>
            <w:shd w:val="clear" w:color="auto" w:fill="auto"/>
            <w:noWrap/>
            <w:vAlign w:val="center"/>
            <w:hideMark/>
          </w:tcPr>
          <w:p w14:paraId="238B3787" w14:textId="5BCE5FD8" w:rsidR="008D0D1A" w:rsidRPr="008D0D1A" w:rsidRDefault="008D0D1A" w:rsidP="00994812">
            <w:pPr>
              <w:jc w:val="right"/>
              <w:rPr>
                <w:color w:val="000000"/>
                <w:sz w:val="13"/>
                <w:szCs w:val="13"/>
                <w:lang w:val="es-CO" w:eastAsia="es-CO"/>
              </w:rPr>
            </w:pPr>
            <w:r w:rsidRPr="008D0D1A">
              <w:rPr>
                <w:color w:val="000000"/>
                <w:sz w:val="13"/>
                <w:szCs w:val="13"/>
                <w:lang w:val="es-CO" w:eastAsia="es-CO"/>
              </w:rPr>
              <w:t>0,54</w:t>
            </w:r>
          </w:p>
        </w:tc>
        <w:tc>
          <w:tcPr>
            <w:tcW w:w="431" w:type="pct"/>
            <w:shd w:val="clear" w:color="auto" w:fill="auto"/>
            <w:noWrap/>
            <w:vAlign w:val="center"/>
            <w:hideMark/>
          </w:tcPr>
          <w:p w14:paraId="2EDDF7FB" w14:textId="45A6513A" w:rsidR="008D0D1A" w:rsidRPr="008D0D1A" w:rsidRDefault="008D0D1A" w:rsidP="00994812">
            <w:pPr>
              <w:jc w:val="right"/>
              <w:rPr>
                <w:color w:val="000000"/>
                <w:sz w:val="13"/>
                <w:szCs w:val="13"/>
                <w:lang w:val="es-CO" w:eastAsia="es-CO"/>
              </w:rPr>
            </w:pPr>
            <w:r w:rsidRPr="008D0D1A">
              <w:rPr>
                <w:color w:val="000000"/>
                <w:sz w:val="13"/>
                <w:szCs w:val="13"/>
                <w:lang w:val="es-CO" w:eastAsia="es-CO"/>
              </w:rPr>
              <w:t>80,4</w:t>
            </w:r>
            <w:r>
              <w:rPr>
                <w:color w:val="000000"/>
                <w:sz w:val="13"/>
                <w:szCs w:val="13"/>
                <w:lang w:val="es-CO" w:eastAsia="es-CO"/>
              </w:rPr>
              <w:t>0</w:t>
            </w:r>
          </w:p>
        </w:tc>
        <w:tc>
          <w:tcPr>
            <w:tcW w:w="455" w:type="pct"/>
            <w:shd w:val="clear" w:color="auto" w:fill="auto"/>
            <w:noWrap/>
            <w:vAlign w:val="center"/>
            <w:hideMark/>
          </w:tcPr>
          <w:p w14:paraId="147F2C08" w14:textId="03AB2FBF" w:rsidR="008D0D1A" w:rsidRPr="008D0D1A" w:rsidRDefault="008D0D1A" w:rsidP="00994812">
            <w:pPr>
              <w:jc w:val="right"/>
              <w:rPr>
                <w:color w:val="000000"/>
                <w:sz w:val="13"/>
                <w:szCs w:val="13"/>
                <w:lang w:val="es-CO" w:eastAsia="es-CO"/>
              </w:rPr>
            </w:pPr>
            <w:r w:rsidRPr="008D0D1A">
              <w:rPr>
                <w:color w:val="000000"/>
                <w:sz w:val="13"/>
                <w:szCs w:val="13"/>
                <w:lang w:val="es-CO" w:eastAsia="es-CO"/>
              </w:rPr>
              <w:t>4.361</w:t>
            </w:r>
          </w:p>
        </w:tc>
        <w:tc>
          <w:tcPr>
            <w:tcW w:w="378" w:type="pct"/>
            <w:shd w:val="clear" w:color="auto" w:fill="auto"/>
            <w:noWrap/>
            <w:vAlign w:val="center"/>
            <w:hideMark/>
          </w:tcPr>
          <w:p w14:paraId="6DC8EC32"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80,39</w:t>
            </w:r>
          </w:p>
        </w:tc>
        <w:tc>
          <w:tcPr>
            <w:tcW w:w="453" w:type="pct"/>
            <w:shd w:val="clear" w:color="auto" w:fill="auto"/>
            <w:noWrap/>
            <w:vAlign w:val="center"/>
            <w:hideMark/>
          </w:tcPr>
          <w:p w14:paraId="501A2A55" w14:textId="05A833B1" w:rsidR="008D0D1A" w:rsidRPr="008D0D1A" w:rsidRDefault="008D0D1A" w:rsidP="00994812">
            <w:pPr>
              <w:jc w:val="right"/>
              <w:rPr>
                <w:color w:val="000000"/>
                <w:sz w:val="13"/>
                <w:szCs w:val="13"/>
                <w:lang w:val="es-CO" w:eastAsia="es-CO"/>
              </w:rPr>
            </w:pPr>
            <w:r w:rsidRPr="008D0D1A">
              <w:rPr>
                <w:color w:val="000000"/>
                <w:sz w:val="13"/>
                <w:szCs w:val="13"/>
                <w:lang w:val="es-CO" w:eastAsia="es-CO"/>
              </w:rPr>
              <w:t>-4.360,41</w:t>
            </w:r>
          </w:p>
        </w:tc>
      </w:tr>
      <w:tr w:rsidR="008D0D1A" w:rsidRPr="008D0D1A" w14:paraId="1E959E31" w14:textId="77777777" w:rsidTr="00994812">
        <w:trPr>
          <w:trHeight w:val="227"/>
        </w:trPr>
        <w:tc>
          <w:tcPr>
            <w:tcW w:w="907" w:type="pct"/>
            <w:tcBorders>
              <w:bottom w:val="single" w:sz="4" w:space="0" w:color="auto"/>
            </w:tcBorders>
            <w:shd w:val="clear" w:color="auto" w:fill="auto"/>
            <w:noWrap/>
            <w:vAlign w:val="center"/>
            <w:hideMark/>
          </w:tcPr>
          <w:p w14:paraId="4ACC21F2"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Valledupar - Cesar</w:t>
            </w:r>
          </w:p>
        </w:tc>
        <w:tc>
          <w:tcPr>
            <w:tcW w:w="455" w:type="pct"/>
            <w:tcBorders>
              <w:bottom w:val="single" w:sz="4" w:space="0" w:color="auto"/>
            </w:tcBorders>
            <w:shd w:val="clear" w:color="auto" w:fill="auto"/>
            <w:noWrap/>
            <w:vAlign w:val="center"/>
            <w:hideMark/>
          </w:tcPr>
          <w:p w14:paraId="143F2DF0"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TPE1/2CO</w:t>
            </w:r>
          </w:p>
        </w:tc>
        <w:tc>
          <w:tcPr>
            <w:tcW w:w="532" w:type="pct"/>
            <w:tcBorders>
              <w:bottom w:val="single" w:sz="4" w:space="0" w:color="auto"/>
            </w:tcBorders>
            <w:shd w:val="clear" w:color="auto" w:fill="auto"/>
            <w:noWrap/>
            <w:vAlign w:val="center"/>
            <w:hideMark/>
          </w:tcPr>
          <w:p w14:paraId="56D20EAD" w14:textId="5C7862DF" w:rsidR="008D0D1A" w:rsidRPr="008D0D1A" w:rsidRDefault="008D0D1A" w:rsidP="008D0D1A">
            <w:pPr>
              <w:jc w:val="right"/>
              <w:rPr>
                <w:color w:val="000000"/>
                <w:sz w:val="13"/>
                <w:szCs w:val="13"/>
                <w:lang w:val="es-CO" w:eastAsia="es-CO"/>
              </w:rPr>
            </w:pPr>
            <w:r w:rsidRPr="008D0D1A">
              <w:rPr>
                <w:color w:val="000000"/>
                <w:sz w:val="13"/>
                <w:szCs w:val="13"/>
                <w:lang w:val="es-CO" w:eastAsia="es-CO"/>
              </w:rPr>
              <w:t>23.730.287</w:t>
            </w:r>
          </w:p>
        </w:tc>
        <w:tc>
          <w:tcPr>
            <w:tcW w:w="530" w:type="pct"/>
            <w:shd w:val="clear" w:color="auto" w:fill="auto"/>
            <w:noWrap/>
            <w:vAlign w:val="center"/>
            <w:hideMark/>
          </w:tcPr>
          <w:p w14:paraId="5389EF6B"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Secundaria</w:t>
            </w:r>
          </w:p>
        </w:tc>
        <w:tc>
          <w:tcPr>
            <w:tcW w:w="379" w:type="pct"/>
            <w:shd w:val="clear" w:color="auto" w:fill="auto"/>
            <w:noWrap/>
            <w:vAlign w:val="center"/>
            <w:hideMark/>
          </w:tcPr>
          <w:p w14:paraId="6DB2BD47"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10,95</w:t>
            </w:r>
          </w:p>
        </w:tc>
        <w:tc>
          <w:tcPr>
            <w:tcW w:w="479" w:type="pct"/>
            <w:shd w:val="clear" w:color="auto" w:fill="auto"/>
            <w:noWrap/>
            <w:vAlign w:val="center"/>
            <w:hideMark/>
          </w:tcPr>
          <w:p w14:paraId="7D142BB9" w14:textId="402AA5F7" w:rsidR="008D0D1A" w:rsidRPr="008D0D1A" w:rsidRDefault="008D0D1A" w:rsidP="00994812">
            <w:pPr>
              <w:jc w:val="right"/>
              <w:rPr>
                <w:color w:val="000000"/>
                <w:sz w:val="13"/>
                <w:szCs w:val="13"/>
                <w:lang w:val="es-CO" w:eastAsia="es-CO"/>
              </w:rPr>
            </w:pPr>
            <w:r w:rsidRPr="008D0D1A">
              <w:rPr>
                <w:color w:val="000000"/>
                <w:sz w:val="13"/>
                <w:szCs w:val="13"/>
                <w:lang w:val="es-CO" w:eastAsia="es-CO"/>
              </w:rPr>
              <w:t>259,85</w:t>
            </w:r>
          </w:p>
        </w:tc>
        <w:tc>
          <w:tcPr>
            <w:tcW w:w="431" w:type="pct"/>
            <w:shd w:val="clear" w:color="auto" w:fill="auto"/>
            <w:noWrap/>
            <w:vAlign w:val="center"/>
            <w:hideMark/>
          </w:tcPr>
          <w:p w14:paraId="09DE5DCF" w14:textId="17270584" w:rsidR="008D0D1A" w:rsidRPr="008D0D1A" w:rsidRDefault="008D0D1A" w:rsidP="00994812">
            <w:pPr>
              <w:jc w:val="right"/>
              <w:rPr>
                <w:color w:val="000000"/>
                <w:sz w:val="13"/>
                <w:szCs w:val="13"/>
                <w:lang w:val="es-CO" w:eastAsia="es-CO"/>
              </w:rPr>
            </w:pPr>
            <w:r w:rsidRPr="008D0D1A">
              <w:rPr>
                <w:color w:val="000000"/>
                <w:sz w:val="13"/>
                <w:szCs w:val="13"/>
                <w:lang w:val="es-CO" w:eastAsia="es-CO"/>
              </w:rPr>
              <w:t>632,9</w:t>
            </w:r>
            <w:r>
              <w:rPr>
                <w:color w:val="000000"/>
                <w:sz w:val="13"/>
                <w:szCs w:val="13"/>
                <w:lang w:val="es-CO" w:eastAsia="es-CO"/>
              </w:rPr>
              <w:t>0</w:t>
            </w:r>
          </w:p>
        </w:tc>
        <w:tc>
          <w:tcPr>
            <w:tcW w:w="455" w:type="pct"/>
            <w:shd w:val="clear" w:color="auto" w:fill="auto"/>
            <w:noWrap/>
            <w:vAlign w:val="center"/>
            <w:hideMark/>
          </w:tcPr>
          <w:p w14:paraId="32C17C95" w14:textId="5B158BD0" w:rsidR="008D0D1A" w:rsidRPr="008D0D1A" w:rsidRDefault="008D0D1A" w:rsidP="00994812">
            <w:pPr>
              <w:jc w:val="right"/>
              <w:rPr>
                <w:color w:val="000000"/>
                <w:sz w:val="13"/>
                <w:szCs w:val="13"/>
                <w:lang w:val="es-CO" w:eastAsia="es-CO"/>
              </w:rPr>
            </w:pPr>
            <w:r w:rsidRPr="008D0D1A">
              <w:rPr>
                <w:color w:val="000000"/>
                <w:sz w:val="13"/>
                <w:szCs w:val="13"/>
                <w:lang w:val="es-CO" w:eastAsia="es-CO"/>
              </w:rPr>
              <w:t>15.019</w:t>
            </w:r>
          </w:p>
        </w:tc>
        <w:tc>
          <w:tcPr>
            <w:tcW w:w="378" w:type="pct"/>
            <w:shd w:val="clear" w:color="auto" w:fill="auto"/>
            <w:noWrap/>
            <w:vAlign w:val="center"/>
            <w:hideMark/>
          </w:tcPr>
          <w:p w14:paraId="43D52450"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621,95</w:t>
            </w:r>
          </w:p>
        </w:tc>
        <w:tc>
          <w:tcPr>
            <w:tcW w:w="453" w:type="pct"/>
            <w:shd w:val="clear" w:color="auto" w:fill="auto"/>
            <w:noWrap/>
            <w:vAlign w:val="center"/>
            <w:hideMark/>
          </w:tcPr>
          <w:p w14:paraId="62DEF624" w14:textId="4194B7DA" w:rsidR="008D0D1A" w:rsidRPr="008D0D1A" w:rsidRDefault="008D0D1A" w:rsidP="00994812">
            <w:pPr>
              <w:jc w:val="right"/>
              <w:rPr>
                <w:color w:val="000000"/>
                <w:sz w:val="13"/>
                <w:szCs w:val="13"/>
                <w:lang w:val="es-CO" w:eastAsia="es-CO"/>
              </w:rPr>
            </w:pPr>
            <w:r w:rsidRPr="008D0D1A">
              <w:rPr>
                <w:color w:val="000000"/>
                <w:sz w:val="13"/>
                <w:szCs w:val="13"/>
                <w:lang w:val="es-CO" w:eastAsia="es-CO"/>
              </w:rPr>
              <w:t>-14.759,05</w:t>
            </w:r>
          </w:p>
        </w:tc>
      </w:tr>
      <w:tr w:rsidR="008D0D1A" w:rsidRPr="008D0D1A" w14:paraId="44C7B44E" w14:textId="77777777" w:rsidTr="00994812">
        <w:trPr>
          <w:trHeight w:val="227"/>
        </w:trPr>
        <w:tc>
          <w:tcPr>
            <w:tcW w:w="907" w:type="pct"/>
            <w:tcBorders>
              <w:bottom w:val="single" w:sz="4" w:space="0" w:color="auto"/>
            </w:tcBorders>
            <w:shd w:val="clear" w:color="auto" w:fill="auto"/>
            <w:noWrap/>
            <w:vAlign w:val="center"/>
            <w:hideMark/>
          </w:tcPr>
          <w:p w14:paraId="6CE292D8"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Valledupar - Cesar</w:t>
            </w:r>
          </w:p>
        </w:tc>
        <w:tc>
          <w:tcPr>
            <w:tcW w:w="455" w:type="pct"/>
            <w:tcBorders>
              <w:bottom w:val="single" w:sz="4" w:space="0" w:color="auto"/>
            </w:tcBorders>
            <w:shd w:val="clear" w:color="auto" w:fill="auto"/>
            <w:noWrap/>
            <w:vAlign w:val="center"/>
            <w:hideMark/>
          </w:tcPr>
          <w:p w14:paraId="4B284887"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ERP 8T1</w:t>
            </w:r>
          </w:p>
        </w:tc>
        <w:tc>
          <w:tcPr>
            <w:tcW w:w="532" w:type="pct"/>
            <w:tcBorders>
              <w:bottom w:val="single" w:sz="4" w:space="0" w:color="auto"/>
            </w:tcBorders>
            <w:shd w:val="clear" w:color="auto" w:fill="auto"/>
            <w:noWrap/>
            <w:vAlign w:val="center"/>
            <w:hideMark/>
          </w:tcPr>
          <w:p w14:paraId="637337C9" w14:textId="760C148E" w:rsidR="008D0D1A" w:rsidRPr="008D0D1A" w:rsidRDefault="008D0D1A" w:rsidP="008D0D1A">
            <w:pPr>
              <w:jc w:val="right"/>
              <w:rPr>
                <w:color w:val="000000"/>
                <w:sz w:val="13"/>
                <w:szCs w:val="13"/>
                <w:lang w:val="es-CO" w:eastAsia="es-CO"/>
              </w:rPr>
            </w:pPr>
            <w:r w:rsidRPr="008D0D1A">
              <w:rPr>
                <w:color w:val="000000"/>
                <w:sz w:val="13"/>
                <w:szCs w:val="13"/>
                <w:lang w:val="es-CO" w:eastAsia="es-CO"/>
              </w:rPr>
              <w:t>174.455.858</w:t>
            </w:r>
          </w:p>
        </w:tc>
        <w:tc>
          <w:tcPr>
            <w:tcW w:w="530" w:type="pct"/>
            <w:tcBorders>
              <w:bottom w:val="single" w:sz="4" w:space="0" w:color="auto"/>
            </w:tcBorders>
            <w:shd w:val="clear" w:color="auto" w:fill="auto"/>
            <w:noWrap/>
            <w:vAlign w:val="center"/>
            <w:hideMark/>
          </w:tcPr>
          <w:p w14:paraId="56300491" w14:textId="77777777" w:rsidR="008D0D1A" w:rsidRPr="008D0D1A" w:rsidRDefault="008D0D1A" w:rsidP="00994812">
            <w:pPr>
              <w:jc w:val="left"/>
              <w:rPr>
                <w:color w:val="000000"/>
                <w:sz w:val="13"/>
                <w:szCs w:val="13"/>
                <w:lang w:val="es-CO" w:eastAsia="es-CO"/>
              </w:rPr>
            </w:pPr>
            <w:r w:rsidRPr="008D0D1A">
              <w:rPr>
                <w:color w:val="000000"/>
                <w:sz w:val="13"/>
                <w:szCs w:val="13"/>
                <w:lang w:val="es-CO" w:eastAsia="es-CO"/>
              </w:rPr>
              <w:t>Primaria</w:t>
            </w:r>
          </w:p>
        </w:tc>
        <w:tc>
          <w:tcPr>
            <w:tcW w:w="379" w:type="pct"/>
            <w:shd w:val="clear" w:color="auto" w:fill="auto"/>
            <w:noWrap/>
            <w:vAlign w:val="center"/>
            <w:hideMark/>
          </w:tcPr>
          <w:p w14:paraId="0B2C13C2"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1,00</w:t>
            </w:r>
          </w:p>
        </w:tc>
        <w:tc>
          <w:tcPr>
            <w:tcW w:w="479" w:type="pct"/>
            <w:shd w:val="clear" w:color="auto" w:fill="auto"/>
            <w:noWrap/>
            <w:vAlign w:val="center"/>
            <w:hideMark/>
          </w:tcPr>
          <w:p w14:paraId="34FEAE3A" w14:textId="4F028109" w:rsidR="008D0D1A" w:rsidRPr="008D0D1A" w:rsidRDefault="008D0D1A" w:rsidP="00994812">
            <w:pPr>
              <w:jc w:val="right"/>
              <w:rPr>
                <w:color w:val="000000"/>
                <w:sz w:val="13"/>
                <w:szCs w:val="13"/>
                <w:lang w:val="es-CO" w:eastAsia="es-CO"/>
              </w:rPr>
            </w:pPr>
            <w:r w:rsidRPr="008D0D1A">
              <w:rPr>
                <w:color w:val="000000"/>
                <w:sz w:val="13"/>
                <w:szCs w:val="13"/>
                <w:lang w:val="es-CO" w:eastAsia="es-CO"/>
              </w:rPr>
              <w:t>174,46</w:t>
            </w:r>
          </w:p>
        </w:tc>
        <w:tc>
          <w:tcPr>
            <w:tcW w:w="431" w:type="pct"/>
            <w:shd w:val="clear" w:color="auto" w:fill="auto"/>
            <w:noWrap/>
            <w:vAlign w:val="center"/>
            <w:hideMark/>
          </w:tcPr>
          <w:p w14:paraId="296EBC1E" w14:textId="0B249205" w:rsidR="008D0D1A" w:rsidRPr="008D0D1A" w:rsidRDefault="008D0D1A" w:rsidP="00994812">
            <w:pPr>
              <w:jc w:val="right"/>
              <w:rPr>
                <w:color w:val="000000"/>
                <w:sz w:val="13"/>
                <w:szCs w:val="13"/>
                <w:lang w:val="es-CO" w:eastAsia="es-CO"/>
              </w:rPr>
            </w:pPr>
            <w:r w:rsidRPr="008D0D1A">
              <w:rPr>
                <w:color w:val="000000"/>
                <w:sz w:val="13"/>
                <w:szCs w:val="13"/>
                <w:lang w:val="es-CO" w:eastAsia="es-CO"/>
              </w:rPr>
              <w:t>3</w:t>
            </w:r>
            <w:r>
              <w:rPr>
                <w:color w:val="000000"/>
                <w:sz w:val="13"/>
                <w:szCs w:val="13"/>
                <w:lang w:val="es-CO" w:eastAsia="es-CO"/>
              </w:rPr>
              <w:t>,00</w:t>
            </w:r>
          </w:p>
        </w:tc>
        <w:tc>
          <w:tcPr>
            <w:tcW w:w="455" w:type="pct"/>
            <w:shd w:val="clear" w:color="auto" w:fill="auto"/>
            <w:noWrap/>
            <w:vAlign w:val="center"/>
            <w:hideMark/>
          </w:tcPr>
          <w:p w14:paraId="18338499" w14:textId="2F0AD0CC" w:rsidR="008D0D1A" w:rsidRPr="008D0D1A" w:rsidRDefault="008D0D1A" w:rsidP="00994812">
            <w:pPr>
              <w:jc w:val="right"/>
              <w:rPr>
                <w:color w:val="000000"/>
                <w:sz w:val="13"/>
                <w:szCs w:val="13"/>
                <w:lang w:val="es-CO" w:eastAsia="es-CO"/>
              </w:rPr>
            </w:pPr>
            <w:r w:rsidRPr="008D0D1A">
              <w:rPr>
                <w:color w:val="000000"/>
                <w:sz w:val="13"/>
                <w:szCs w:val="13"/>
                <w:lang w:val="es-CO" w:eastAsia="es-CO"/>
              </w:rPr>
              <w:t>523</w:t>
            </w:r>
          </w:p>
        </w:tc>
        <w:tc>
          <w:tcPr>
            <w:tcW w:w="378" w:type="pct"/>
            <w:shd w:val="clear" w:color="auto" w:fill="auto"/>
            <w:noWrap/>
            <w:vAlign w:val="center"/>
            <w:hideMark/>
          </w:tcPr>
          <w:p w14:paraId="0B728FD1" w14:textId="77777777" w:rsidR="008D0D1A" w:rsidRPr="008D0D1A" w:rsidRDefault="008D0D1A" w:rsidP="00994812">
            <w:pPr>
              <w:jc w:val="right"/>
              <w:rPr>
                <w:color w:val="000000"/>
                <w:sz w:val="13"/>
                <w:szCs w:val="13"/>
                <w:lang w:val="es-CO" w:eastAsia="es-CO"/>
              </w:rPr>
            </w:pPr>
            <w:r w:rsidRPr="008D0D1A">
              <w:rPr>
                <w:color w:val="000000"/>
                <w:sz w:val="13"/>
                <w:szCs w:val="13"/>
                <w:lang w:val="es-CO" w:eastAsia="es-CO"/>
              </w:rPr>
              <w:t>2,00</w:t>
            </w:r>
          </w:p>
        </w:tc>
        <w:tc>
          <w:tcPr>
            <w:tcW w:w="453" w:type="pct"/>
            <w:shd w:val="clear" w:color="auto" w:fill="auto"/>
            <w:noWrap/>
            <w:vAlign w:val="center"/>
            <w:hideMark/>
          </w:tcPr>
          <w:p w14:paraId="4503FB2D" w14:textId="2D1C3BF2" w:rsidR="008D0D1A" w:rsidRPr="008D0D1A" w:rsidRDefault="008D0D1A" w:rsidP="00994812">
            <w:pPr>
              <w:jc w:val="right"/>
              <w:rPr>
                <w:color w:val="000000"/>
                <w:sz w:val="13"/>
                <w:szCs w:val="13"/>
                <w:lang w:val="es-CO" w:eastAsia="es-CO"/>
              </w:rPr>
            </w:pPr>
            <w:r w:rsidRPr="008D0D1A">
              <w:rPr>
                <w:color w:val="000000"/>
                <w:sz w:val="13"/>
                <w:szCs w:val="13"/>
                <w:lang w:val="es-CO" w:eastAsia="es-CO"/>
              </w:rPr>
              <w:t>-348,91</w:t>
            </w:r>
          </w:p>
        </w:tc>
      </w:tr>
      <w:tr w:rsidR="008D0D1A" w:rsidRPr="008D0D1A" w14:paraId="7809E17D" w14:textId="77777777" w:rsidTr="002D5FA8">
        <w:trPr>
          <w:trHeight w:val="227"/>
        </w:trPr>
        <w:tc>
          <w:tcPr>
            <w:tcW w:w="907" w:type="pct"/>
            <w:tcBorders>
              <w:top w:val="single" w:sz="4" w:space="0" w:color="auto"/>
              <w:left w:val="nil"/>
              <w:bottom w:val="nil"/>
              <w:right w:val="nil"/>
            </w:tcBorders>
            <w:shd w:val="clear" w:color="auto" w:fill="auto"/>
            <w:noWrap/>
            <w:vAlign w:val="bottom"/>
            <w:hideMark/>
          </w:tcPr>
          <w:p w14:paraId="3C5CEEB3" w14:textId="77777777" w:rsidR="008D0D1A" w:rsidRPr="008D0D1A" w:rsidRDefault="008D0D1A" w:rsidP="008D0D1A">
            <w:pPr>
              <w:jc w:val="left"/>
              <w:rPr>
                <w:color w:val="000000"/>
                <w:sz w:val="13"/>
                <w:szCs w:val="13"/>
                <w:lang w:val="es-CO" w:eastAsia="es-CO"/>
              </w:rPr>
            </w:pPr>
          </w:p>
        </w:tc>
        <w:tc>
          <w:tcPr>
            <w:tcW w:w="455" w:type="pct"/>
            <w:tcBorders>
              <w:top w:val="single" w:sz="4" w:space="0" w:color="auto"/>
              <w:left w:val="nil"/>
              <w:bottom w:val="nil"/>
              <w:right w:val="nil"/>
            </w:tcBorders>
            <w:shd w:val="clear" w:color="auto" w:fill="auto"/>
            <w:noWrap/>
            <w:vAlign w:val="bottom"/>
            <w:hideMark/>
          </w:tcPr>
          <w:p w14:paraId="543E251D" w14:textId="77777777" w:rsidR="008D0D1A" w:rsidRPr="008D0D1A" w:rsidRDefault="008D0D1A" w:rsidP="008D0D1A">
            <w:pPr>
              <w:jc w:val="left"/>
              <w:rPr>
                <w:sz w:val="13"/>
                <w:szCs w:val="13"/>
                <w:lang w:val="es-CO" w:eastAsia="es-CO"/>
              </w:rPr>
            </w:pPr>
          </w:p>
        </w:tc>
        <w:tc>
          <w:tcPr>
            <w:tcW w:w="532" w:type="pct"/>
            <w:tcBorders>
              <w:top w:val="single" w:sz="4" w:space="0" w:color="auto"/>
              <w:left w:val="nil"/>
              <w:bottom w:val="nil"/>
              <w:right w:val="single" w:sz="4" w:space="0" w:color="auto"/>
            </w:tcBorders>
            <w:shd w:val="clear" w:color="auto" w:fill="auto"/>
            <w:noWrap/>
            <w:vAlign w:val="bottom"/>
            <w:hideMark/>
          </w:tcPr>
          <w:p w14:paraId="6F22AC70" w14:textId="77777777" w:rsidR="008D0D1A" w:rsidRPr="008D0D1A" w:rsidRDefault="008D0D1A" w:rsidP="008D0D1A">
            <w:pPr>
              <w:jc w:val="left"/>
              <w:rPr>
                <w:sz w:val="13"/>
                <w:szCs w:val="13"/>
                <w:lang w:val="es-CO" w:eastAsia="es-CO"/>
              </w:rPr>
            </w:pPr>
          </w:p>
        </w:tc>
        <w:tc>
          <w:tcPr>
            <w:tcW w:w="530" w:type="pct"/>
            <w:tcBorders>
              <w:left w:val="single" w:sz="4" w:space="0" w:color="auto"/>
            </w:tcBorders>
            <w:shd w:val="clear" w:color="auto" w:fill="D9D9D9" w:themeFill="background1" w:themeFillShade="D9"/>
            <w:noWrap/>
            <w:vAlign w:val="center"/>
            <w:hideMark/>
          </w:tcPr>
          <w:p w14:paraId="203E3BE7" w14:textId="77777777" w:rsidR="008D0D1A" w:rsidRPr="008D0D1A" w:rsidRDefault="008D0D1A" w:rsidP="002D5FA8">
            <w:pPr>
              <w:jc w:val="left"/>
              <w:rPr>
                <w:color w:val="000000"/>
                <w:sz w:val="13"/>
                <w:szCs w:val="13"/>
                <w:lang w:val="es-CO" w:eastAsia="es-CO"/>
              </w:rPr>
            </w:pPr>
            <w:r w:rsidRPr="008D0D1A">
              <w:rPr>
                <w:b/>
                <w:color w:val="000000"/>
                <w:sz w:val="13"/>
                <w:szCs w:val="13"/>
                <w:lang w:val="es-CO" w:eastAsia="es-CO"/>
              </w:rPr>
              <w:t>TOTAL</w:t>
            </w:r>
          </w:p>
        </w:tc>
        <w:tc>
          <w:tcPr>
            <w:tcW w:w="379" w:type="pct"/>
            <w:shd w:val="clear" w:color="auto" w:fill="auto"/>
            <w:noWrap/>
            <w:vAlign w:val="center"/>
            <w:hideMark/>
          </w:tcPr>
          <w:p w14:paraId="0E8CC019" w14:textId="2D4DB68E" w:rsidR="008D0D1A" w:rsidRPr="008D0D1A" w:rsidRDefault="008D0D1A" w:rsidP="00994812">
            <w:pPr>
              <w:jc w:val="right"/>
              <w:rPr>
                <w:color w:val="000000"/>
                <w:sz w:val="13"/>
                <w:szCs w:val="13"/>
                <w:lang w:val="es-CO" w:eastAsia="es-CO"/>
              </w:rPr>
            </w:pPr>
            <w:r w:rsidRPr="008D0D1A">
              <w:rPr>
                <w:color w:val="000000"/>
                <w:sz w:val="13"/>
                <w:szCs w:val="13"/>
                <w:lang w:val="es-CO" w:eastAsia="es-CO"/>
              </w:rPr>
              <w:t>358,05</w:t>
            </w:r>
          </w:p>
        </w:tc>
        <w:tc>
          <w:tcPr>
            <w:tcW w:w="479" w:type="pct"/>
            <w:shd w:val="clear" w:color="auto" w:fill="auto"/>
            <w:noWrap/>
            <w:vAlign w:val="center"/>
            <w:hideMark/>
          </w:tcPr>
          <w:p w14:paraId="48B234E1" w14:textId="4343C4D7" w:rsidR="008D0D1A" w:rsidRPr="008D0D1A" w:rsidRDefault="008D0D1A" w:rsidP="00994812">
            <w:pPr>
              <w:jc w:val="right"/>
              <w:rPr>
                <w:color w:val="000000"/>
                <w:sz w:val="13"/>
                <w:szCs w:val="13"/>
                <w:lang w:val="es-CO" w:eastAsia="es-CO"/>
              </w:rPr>
            </w:pPr>
            <w:r w:rsidRPr="008D0D1A">
              <w:rPr>
                <w:color w:val="000000"/>
                <w:sz w:val="13"/>
                <w:szCs w:val="13"/>
                <w:lang w:val="es-CO" w:eastAsia="es-CO"/>
              </w:rPr>
              <w:t>16.735,04</w:t>
            </w:r>
          </w:p>
        </w:tc>
        <w:tc>
          <w:tcPr>
            <w:tcW w:w="431" w:type="pct"/>
            <w:shd w:val="clear" w:color="auto" w:fill="auto"/>
            <w:noWrap/>
            <w:vAlign w:val="center"/>
            <w:hideMark/>
          </w:tcPr>
          <w:p w14:paraId="77A3859C" w14:textId="3BFCC93F" w:rsidR="008D0D1A" w:rsidRPr="008D0D1A" w:rsidRDefault="008D0D1A" w:rsidP="00994812">
            <w:pPr>
              <w:jc w:val="right"/>
              <w:rPr>
                <w:color w:val="000000"/>
                <w:sz w:val="13"/>
                <w:szCs w:val="13"/>
                <w:lang w:val="es-CO" w:eastAsia="es-CO"/>
              </w:rPr>
            </w:pPr>
            <w:r w:rsidRPr="008D0D1A">
              <w:rPr>
                <w:color w:val="000000"/>
                <w:sz w:val="13"/>
                <w:szCs w:val="13"/>
                <w:lang w:val="es-CO" w:eastAsia="es-CO"/>
              </w:rPr>
              <w:t>1.122,12</w:t>
            </w:r>
          </w:p>
        </w:tc>
        <w:tc>
          <w:tcPr>
            <w:tcW w:w="455" w:type="pct"/>
            <w:shd w:val="clear" w:color="auto" w:fill="auto"/>
            <w:noWrap/>
            <w:vAlign w:val="center"/>
            <w:hideMark/>
          </w:tcPr>
          <w:p w14:paraId="5749A4C3" w14:textId="70D4B2FC" w:rsidR="008D0D1A" w:rsidRPr="008D0D1A" w:rsidRDefault="008D0D1A" w:rsidP="00994812">
            <w:pPr>
              <w:jc w:val="right"/>
              <w:rPr>
                <w:color w:val="000000"/>
                <w:sz w:val="13"/>
                <w:szCs w:val="13"/>
                <w:lang w:val="es-CO" w:eastAsia="es-CO"/>
              </w:rPr>
            </w:pPr>
            <w:r w:rsidRPr="008D0D1A">
              <w:rPr>
                <w:color w:val="000000"/>
                <w:sz w:val="13"/>
                <w:szCs w:val="13"/>
                <w:lang w:val="es-CO" w:eastAsia="es-CO"/>
              </w:rPr>
              <w:t>40.346,03</w:t>
            </w:r>
          </w:p>
        </w:tc>
        <w:tc>
          <w:tcPr>
            <w:tcW w:w="378" w:type="pct"/>
            <w:shd w:val="clear" w:color="auto" w:fill="auto"/>
            <w:noWrap/>
            <w:vAlign w:val="center"/>
            <w:hideMark/>
          </w:tcPr>
          <w:p w14:paraId="3F42A6AE" w14:textId="6D8F6331" w:rsidR="008D0D1A" w:rsidRPr="008D0D1A" w:rsidRDefault="008D0D1A" w:rsidP="00994812">
            <w:pPr>
              <w:jc w:val="right"/>
              <w:rPr>
                <w:color w:val="000000"/>
                <w:sz w:val="13"/>
                <w:szCs w:val="13"/>
                <w:lang w:val="es-CO" w:eastAsia="es-CO"/>
              </w:rPr>
            </w:pPr>
            <w:r w:rsidRPr="008D0D1A">
              <w:rPr>
                <w:color w:val="000000"/>
                <w:sz w:val="13"/>
                <w:szCs w:val="13"/>
                <w:lang w:val="es-CO" w:eastAsia="es-CO"/>
              </w:rPr>
              <w:t>764,07</w:t>
            </w:r>
          </w:p>
        </w:tc>
        <w:tc>
          <w:tcPr>
            <w:tcW w:w="453" w:type="pct"/>
            <w:shd w:val="clear" w:color="auto" w:fill="auto"/>
            <w:noWrap/>
            <w:vAlign w:val="center"/>
            <w:hideMark/>
          </w:tcPr>
          <w:p w14:paraId="7B0132E1" w14:textId="4B67E362" w:rsidR="008D0D1A" w:rsidRPr="008D0D1A" w:rsidRDefault="008D0D1A" w:rsidP="00994812">
            <w:pPr>
              <w:jc w:val="right"/>
              <w:rPr>
                <w:color w:val="000000"/>
                <w:sz w:val="13"/>
                <w:szCs w:val="13"/>
                <w:lang w:val="es-CO" w:eastAsia="es-CO"/>
              </w:rPr>
            </w:pPr>
            <w:r w:rsidRPr="008D0D1A">
              <w:rPr>
                <w:color w:val="000000"/>
                <w:sz w:val="13"/>
                <w:szCs w:val="13"/>
                <w:lang w:val="es-CO" w:eastAsia="es-CO"/>
              </w:rPr>
              <w:t>-23.610,99</w:t>
            </w:r>
          </w:p>
        </w:tc>
      </w:tr>
    </w:tbl>
    <w:p w14:paraId="3C9E39C0" w14:textId="77777777" w:rsidR="00A82C4A" w:rsidRDefault="00A82C4A" w:rsidP="00D80625">
      <w:pPr>
        <w:adjustRightInd w:val="0"/>
        <w:spacing w:before="240" w:after="240"/>
        <w:ind w:right="23"/>
      </w:pPr>
    </w:p>
    <w:p w14:paraId="704640F5" w14:textId="2828B46B" w:rsidR="008D0D1A" w:rsidRDefault="00D80625" w:rsidP="00D80625">
      <w:pPr>
        <w:adjustRightInd w:val="0"/>
        <w:spacing w:before="240" w:after="240"/>
        <w:ind w:right="23"/>
      </w:pPr>
      <w:r>
        <w:t>Señala además el recurrente que la omisión de dicha inversión resultó en cargos transitorios de distribución para usuarios de uso residencial y cargos transitorios de distribución para usuarios diferentes a los de uso resid</w:t>
      </w:r>
      <w:r w:rsidR="006C0E52">
        <w:t>encial inferiores a los debidos, como se muestra en los Cuadros 2 y 3.</w:t>
      </w:r>
    </w:p>
    <w:p w14:paraId="35C3F178" w14:textId="3B994132" w:rsidR="006C0E52" w:rsidRPr="006C0E52" w:rsidRDefault="006C0E52" w:rsidP="00F14E81">
      <w:pPr>
        <w:keepNext/>
        <w:adjustRightInd w:val="0"/>
        <w:spacing w:before="240" w:after="120"/>
        <w:ind w:right="23"/>
        <w:jc w:val="center"/>
        <w:rPr>
          <w:b/>
        </w:rPr>
      </w:pPr>
      <w:r w:rsidRPr="006C0E52">
        <w:rPr>
          <w:b/>
        </w:rPr>
        <w:lastRenderedPageBreak/>
        <w:t>Cuadro 2</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835"/>
        <w:gridCol w:w="1471"/>
        <w:gridCol w:w="1471"/>
        <w:gridCol w:w="1472"/>
      </w:tblGrid>
      <w:tr w:rsidR="00F14E81" w:rsidRPr="006C0E52" w14:paraId="76BF9F8E" w14:textId="77777777" w:rsidTr="00690AAF">
        <w:trPr>
          <w:trHeight w:val="300"/>
          <w:tblHeader/>
          <w:jc w:val="center"/>
        </w:trPr>
        <w:tc>
          <w:tcPr>
            <w:tcW w:w="8662" w:type="dxa"/>
            <w:gridSpan w:val="5"/>
            <w:shd w:val="clear" w:color="auto" w:fill="D9D9D9" w:themeFill="background1" w:themeFillShade="D9"/>
            <w:noWrap/>
            <w:vAlign w:val="bottom"/>
            <w:hideMark/>
          </w:tcPr>
          <w:p w14:paraId="5F9F20F1" w14:textId="769D255C" w:rsidR="00F14E81" w:rsidRPr="006C0E52" w:rsidRDefault="00F14E81" w:rsidP="00F14E81">
            <w:pPr>
              <w:jc w:val="center"/>
              <w:rPr>
                <w:b/>
                <w:sz w:val="20"/>
                <w:szCs w:val="20"/>
                <w:lang w:val="es-CO" w:eastAsia="es-CO"/>
              </w:rPr>
            </w:pPr>
            <w:r w:rsidRPr="006C0E52">
              <w:rPr>
                <w:b/>
                <w:color w:val="000000"/>
                <w:sz w:val="20"/>
                <w:szCs w:val="20"/>
                <w:lang w:val="es-CO" w:eastAsia="es-CO"/>
              </w:rPr>
              <w:t>Usuarios de uso residencial</w:t>
            </w:r>
          </w:p>
        </w:tc>
      </w:tr>
      <w:tr w:rsidR="00F14E81" w:rsidRPr="006C0E52" w14:paraId="34F4B938" w14:textId="77777777" w:rsidTr="0075124B">
        <w:trPr>
          <w:trHeight w:val="300"/>
          <w:tblHeader/>
          <w:jc w:val="center"/>
        </w:trPr>
        <w:tc>
          <w:tcPr>
            <w:tcW w:w="1413" w:type="dxa"/>
            <w:vMerge w:val="restart"/>
            <w:shd w:val="clear" w:color="auto" w:fill="D9D9D9" w:themeFill="background1" w:themeFillShade="D9"/>
            <w:vAlign w:val="center"/>
            <w:hideMark/>
          </w:tcPr>
          <w:p w14:paraId="3058FAE8" w14:textId="4AA84557" w:rsidR="006C0E52" w:rsidRPr="006C0E52" w:rsidRDefault="006C0E52" w:rsidP="006C0E52">
            <w:pPr>
              <w:jc w:val="center"/>
              <w:rPr>
                <w:b/>
                <w:color w:val="000000"/>
                <w:sz w:val="20"/>
                <w:szCs w:val="20"/>
                <w:lang w:val="es-CO" w:eastAsia="es-CO"/>
              </w:rPr>
            </w:pPr>
            <w:r w:rsidRPr="006C0E52">
              <w:rPr>
                <w:b/>
                <w:color w:val="000000"/>
                <w:sz w:val="20"/>
                <w:szCs w:val="20"/>
                <w:lang w:val="es-CO" w:eastAsia="es-CO"/>
              </w:rPr>
              <w:t>Resolución</w:t>
            </w:r>
            <w:r w:rsidR="00F14E81">
              <w:rPr>
                <w:b/>
                <w:color w:val="000000"/>
                <w:sz w:val="20"/>
                <w:szCs w:val="20"/>
                <w:lang w:val="es-CO" w:eastAsia="es-CO"/>
              </w:rPr>
              <w:t xml:space="preserve"> </w:t>
            </w:r>
            <w:r w:rsidRPr="006C0E52">
              <w:rPr>
                <w:b/>
                <w:color w:val="000000"/>
                <w:sz w:val="20"/>
                <w:szCs w:val="20"/>
                <w:lang w:val="es-CO" w:eastAsia="es-CO"/>
              </w:rPr>
              <w:t>CREG 198 de 2017</w:t>
            </w:r>
          </w:p>
        </w:tc>
        <w:tc>
          <w:tcPr>
            <w:tcW w:w="2835" w:type="dxa"/>
            <w:shd w:val="clear" w:color="auto" w:fill="D9D9D9" w:themeFill="background1" w:themeFillShade="D9"/>
            <w:noWrap/>
            <w:vAlign w:val="center"/>
            <w:hideMark/>
          </w:tcPr>
          <w:p w14:paraId="609E548C" w14:textId="77777777" w:rsidR="006C0E52" w:rsidRPr="006C0E52" w:rsidRDefault="006C0E52" w:rsidP="00F14E81">
            <w:pPr>
              <w:jc w:val="center"/>
              <w:rPr>
                <w:b/>
                <w:color w:val="000000"/>
                <w:sz w:val="20"/>
                <w:szCs w:val="20"/>
                <w:lang w:val="es-CO" w:eastAsia="es-CO"/>
              </w:rPr>
            </w:pPr>
            <w:r w:rsidRPr="006C0E52">
              <w:rPr>
                <w:b/>
                <w:color w:val="000000"/>
                <w:sz w:val="20"/>
                <w:szCs w:val="20"/>
                <w:lang w:val="es-CO" w:eastAsia="es-CO"/>
              </w:rPr>
              <w:t>$/m³</w:t>
            </w:r>
          </w:p>
        </w:tc>
        <w:tc>
          <w:tcPr>
            <w:tcW w:w="1471" w:type="dxa"/>
            <w:shd w:val="clear" w:color="auto" w:fill="D9D9D9" w:themeFill="background1" w:themeFillShade="D9"/>
            <w:noWrap/>
            <w:vAlign w:val="center"/>
            <w:hideMark/>
          </w:tcPr>
          <w:p w14:paraId="351E5687" w14:textId="77777777" w:rsidR="006C0E52" w:rsidRPr="006C0E52" w:rsidRDefault="006C0E52" w:rsidP="00F14E81">
            <w:pPr>
              <w:jc w:val="center"/>
              <w:rPr>
                <w:b/>
                <w:color w:val="000000"/>
                <w:sz w:val="20"/>
                <w:szCs w:val="20"/>
                <w:lang w:val="es-CO" w:eastAsia="es-CO"/>
              </w:rPr>
            </w:pPr>
            <w:r w:rsidRPr="006C0E52">
              <w:rPr>
                <w:b/>
                <w:color w:val="000000"/>
                <w:sz w:val="20"/>
                <w:szCs w:val="20"/>
                <w:lang w:val="es-CO" w:eastAsia="es-CO"/>
              </w:rPr>
              <w:t>2017</w:t>
            </w:r>
          </w:p>
        </w:tc>
        <w:tc>
          <w:tcPr>
            <w:tcW w:w="1471" w:type="dxa"/>
            <w:shd w:val="clear" w:color="auto" w:fill="D9D9D9" w:themeFill="background1" w:themeFillShade="D9"/>
            <w:noWrap/>
            <w:vAlign w:val="center"/>
            <w:hideMark/>
          </w:tcPr>
          <w:p w14:paraId="67EA4073" w14:textId="77777777" w:rsidR="006C0E52" w:rsidRPr="006C0E52" w:rsidRDefault="006C0E52" w:rsidP="00F14E81">
            <w:pPr>
              <w:jc w:val="center"/>
              <w:rPr>
                <w:b/>
                <w:color w:val="000000"/>
                <w:sz w:val="20"/>
                <w:szCs w:val="20"/>
                <w:lang w:val="es-CO" w:eastAsia="es-CO"/>
              </w:rPr>
            </w:pPr>
            <w:r w:rsidRPr="006C0E52">
              <w:rPr>
                <w:b/>
                <w:color w:val="000000"/>
                <w:sz w:val="20"/>
                <w:szCs w:val="20"/>
                <w:lang w:val="es-CO" w:eastAsia="es-CO"/>
              </w:rPr>
              <w:t>2018</w:t>
            </w:r>
          </w:p>
        </w:tc>
        <w:tc>
          <w:tcPr>
            <w:tcW w:w="1472" w:type="dxa"/>
            <w:shd w:val="clear" w:color="auto" w:fill="D9D9D9" w:themeFill="background1" w:themeFillShade="D9"/>
            <w:noWrap/>
            <w:vAlign w:val="center"/>
            <w:hideMark/>
          </w:tcPr>
          <w:p w14:paraId="20B75997" w14:textId="77777777" w:rsidR="006C0E52" w:rsidRPr="006C0E52" w:rsidRDefault="006C0E52" w:rsidP="00F14E81">
            <w:pPr>
              <w:jc w:val="center"/>
              <w:rPr>
                <w:b/>
                <w:color w:val="000000"/>
                <w:sz w:val="20"/>
                <w:szCs w:val="20"/>
                <w:lang w:val="es-CO" w:eastAsia="es-CO"/>
              </w:rPr>
            </w:pPr>
            <w:r w:rsidRPr="006C0E52">
              <w:rPr>
                <w:b/>
                <w:color w:val="000000"/>
                <w:sz w:val="20"/>
                <w:szCs w:val="20"/>
                <w:lang w:val="es-CO" w:eastAsia="es-CO"/>
              </w:rPr>
              <w:t>2019 - 2021</w:t>
            </w:r>
          </w:p>
        </w:tc>
      </w:tr>
      <w:tr w:rsidR="00F14E81" w:rsidRPr="006C0E52" w14:paraId="43A4C24B" w14:textId="77777777" w:rsidTr="0075124B">
        <w:trPr>
          <w:trHeight w:val="300"/>
          <w:tblHeader/>
          <w:jc w:val="center"/>
        </w:trPr>
        <w:tc>
          <w:tcPr>
            <w:tcW w:w="1413" w:type="dxa"/>
            <w:vMerge/>
            <w:vAlign w:val="center"/>
            <w:hideMark/>
          </w:tcPr>
          <w:p w14:paraId="2B725823" w14:textId="77777777" w:rsidR="006C0E52" w:rsidRPr="006C0E52" w:rsidRDefault="006C0E52" w:rsidP="006C0E52">
            <w:pPr>
              <w:jc w:val="left"/>
              <w:rPr>
                <w:b/>
                <w:color w:val="000000"/>
                <w:sz w:val="20"/>
                <w:szCs w:val="20"/>
                <w:lang w:val="es-CO" w:eastAsia="es-CO"/>
              </w:rPr>
            </w:pPr>
          </w:p>
        </w:tc>
        <w:tc>
          <w:tcPr>
            <w:tcW w:w="2835" w:type="dxa"/>
            <w:shd w:val="clear" w:color="auto" w:fill="auto"/>
            <w:noWrap/>
            <w:vAlign w:val="center"/>
            <w:hideMark/>
          </w:tcPr>
          <w:p w14:paraId="5CABF26E" w14:textId="77777777" w:rsidR="006C0E52" w:rsidRPr="006C0E52" w:rsidRDefault="006C0E52" w:rsidP="00F14E81">
            <w:pPr>
              <w:jc w:val="left"/>
              <w:rPr>
                <w:color w:val="000000"/>
                <w:sz w:val="20"/>
                <w:szCs w:val="20"/>
                <w:lang w:val="es-CO" w:eastAsia="es-CO"/>
              </w:rPr>
            </w:pPr>
            <w:r w:rsidRPr="006C0E52">
              <w:rPr>
                <w:color w:val="000000"/>
                <w:sz w:val="20"/>
                <w:szCs w:val="20"/>
                <w:lang w:val="es-CO" w:eastAsia="es-CO"/>
              </w:rPr>
              <w:t>Cargo de distribución</w:t>
            </w:r>
          </w:p>
        </w:tc>
        <w:tc>
          <w:tcPr>
            <w:tcW w:w="1471" w:type="dxa"/>
            <w:shd w:val="clear" w:color="auto" w:fill="auto"/>
            <w:noWrap/>
            <w:vAlign w:val="center"/>
            <w:hideMark/>
          </w:tcPr>
          <w:p w14:paraId="4B805D3F" w14:textId="77777777" w:rsidR="006C0E52" w:rsidRPr="006C0E52" w:rsidRDefault="006C0E52" w:rsidP="00F14E81">
            <w:pPr>
              <w:jc w:val="right"/>
              <w:rPr>
                <w:color w:val="000000"/>
                <w:sz w:val="20"/>
                <w:szCs w:val="20"/>
                <w:lang w:val="es-CO" w:eastAsia="es-CO"/>
              </w:rPr>
            </w:pPr>
            <w:r w:rsidRPr="006C0E52">
              <w:rPr>
                <w:color w:val="000000"/>
                <w:sz w:val="20"/>
                <w:szCs w:val="20"/>
                <w:lang w:val="es-CO" w:eastAsia="es-CO"/>
              </w:rPr>
              <w:t>379,62</w:t>
            </w:r>
          </w:p>
        </w:tc>
        <w:tc>
          <w:tcPr>
            <w:tcW w:w="1471" w:type="dxa"/>
            <w:shd w:val="clear" w:color="auto" w:fill="auto"/>
            <w:noWrap/>
            <w:vAlign w:val="center"/>
            <w:hideMark/>
          </w:tcPr>
          <w:p w14:paraId="16861A53" w14:textId="77777777" w:rsidR="006C0E52" w:rsidRPr="006C0E52" w:rsidRDefault="006C0E52" w:rsidP="00F14E81">
            <w:pPr>
              <w:jc w:val="right"/>
              <w:rPr>
                <w:color w:val="000000"/>
                <w:sz w:val="20"/>
                <w:szCs w:val="20"/>
                <w:lang w:val="es-CO" w:eastAsia="es-CO"/>
              </w:rPr>
            </w:pPr>
            <w:r w:rsidRPr="006C0E52">
              <w:rPr>
                <w:color w:val="000000"/>
                <w:sz w:val="20"/>
                <w:szCs w:val="20"/>
                <w:lang w:val="es-CO" w:eastAsia="es-CO"/>
              </w:rPr>
              <w:t>382,63</w:t>
            </w:r>
          </w:p>
        </w:tc>
        <w:tc>
          <w:tcPr>
            <w:tcW w:w="1472" w:type="dxa"/>
            <w:shd w:val="clear" w:color="auto" w:fill="auto"/>
            <w:noWrap/>
            <w:vAlign w:val="center"/>
            <w:hideMark/>
          </w:tcPr>
          <w:p w14:paraId="31AC8CDD" w14:textId="77777777" w:rsidR="006C0E52" w:rsidRPr="006C0E52" w:rsidRDefault="006C0E52" w:rsidP="00F14E81">
            <w:pPr>
              <w:jc w:val="right"/>
              <w:rPr>
                <w:color w:val="000000"/>
                <w:sz w:val="20"/>
                <w:szCs w:val="20"/>
                <w:lang w:val="es-CO" w:eastAsia="es-CO"/>
              </w:rPr>
            </w:pPr>
            <w:r w:rsidRPr="006C0E52">
              <w:rPr>
                <w:color w:val="000000"/>
                <w:sz w:val="20"/>
                <w:szCs w:val="20"/>
                <w:lang w:val="es-CO" w:eastAsia="es-CO"/>
              </w:rPr>
              <w:t>362,63</w:t>
            </w:r>
          </w:p>
        </w:tc>
      </w:tr>
      <w:tr w:rsidR="00F14E81" w:rsidRPr="006C0E52" w14:paraId="7C5456C1" w14:textId="77777777" w:rsidTr="0075124B">
        <w:trPr>
          <w:trHeight w:val="300"/>
          <w:tblHeader/>
          <w:jc w:val="center"/>
        </w:trPr>
        <w:tc>
          <w:tcPr>
            <w:tcW w:w="1413" w:type="dxa"/>
            <w:vMerge/>
            <w:vAlign w:val="center"/>
            <w:hideMark/>
          </w:tcPr>
          <w:p w14:paraId="22BE8014" w14:textId="77777777" w:rsidR="006C0E52" w:rsidRPr="006C0E52" w:rsidRDefault="006C0E52" w:rsidP="006C0E52">
            <w:pPr>
              <w:jc w:val="left"/>
              <w:rPr>
                <w:b/>
                <w:color w:val="000000"/>
                <w:sz w:val="20"/>
                <w:szCs w:val="20"/>
                <w:lang w:val="es-CO" w:eastAsia="es-CO"/>
              </w:rPr>
            </w:pPr>
          </w:p>
        </w:tc>
        <w:tc>
          <w:tcPr>
            <w:tcW w:w="2835" w:type="dxa"/>
            <w:shd w:val="clear" w:color="auto" w:fill="auto"/>
            <w:noWrap/>
            <w:vAlign w:val="center"/>
            <w:hideMark/>
          </w:tcPr>
          <w:p w14:paraId="01444806" w14:textId="42D21B45" w:rsidR="006C0E52" w:rsidRPr="006C0E52" w:rsidRDefault="00F14E81" w:rsidP="00F14E81">
            <w:pPr>
              <w:jc w:val="left"/>
              <w:rPr>
                <w:i/>
                <w:color w:val="000000"/>
                <w:sz w:val="20"/>
                <w:szCs w:val="20"/>
                <w:lang w:val="es-CO" w:eastAsia="es-CO"/>
              </w:rPr>
            </w:pPr>
            <w:r>
              <w:rPr>
                <w:i/>
                <w:color w:val="000000"/>
                <w:sz w:val="20"/>
                <w:szCs w:val="20"/>
                <w:lang w:val="es-CO" w:eastAsia="es-CO"/>
              </w:rPr>
              <w:t xml:space="preserve">  </w:t>
            </w:r>
            <w:r w:rsidR="006C0E52" w:rsidRPr="006C0E52">
              <w:rPr>
                <w:i/>
                <w:color w:val="000000"/>
                <w:sz w:val="20"/>
                <w:szCs w:val="20"/>
                <w:lang w:val="es-CO" w:eastAsia="es-CO"/>
              </w:rPr>
              <w:t>Componente de inversión</w:t>
            </w:r>
          </w:p>
        </w:tc>
        <w:tc>
          <w:tcPr>
            <w:tcW w:w="1471" w:type="dxa"/>
            <w:shd w:val="clear" w:color="auto" w:fill="auto"/>
            <w:noWrap/>
            <w:vAlign w:val="center"/>
            <w:hideMark/>
          </w:tcPr>
          <w:p w14:paraId="338BCFF8" w14:textId="77777777" w:rsidR="006C0E52" w:rsidRPr="006C0E52" w:rsidRDefault="006C0E52" w:rsidP="00F14E81">
            <w:pPr>
              <w:jc w:val="right"/>
              <w:rPr>
                <w:i/>
                <w:color w:val="000000"/>
                <w:sz w:val="20"/>
                <w:szCs w:val="20"/>
                <w:lang w:val="es-CO" w:eastAsia="es-CO"/>
              </w:rPr>
            </w:pPr>
            <w:r w:rsidRPr="006C0E52">
              <w:rPr>
                <w:i/>
                <w:color w:val="000000"/>
                <w:sz w:val="20"/>
                <w:szCs w:val="20"/>
                <w:lang w:val="es-CO" w:eastAsia="es-CO"/>
              </w:rPr>
              <w:t>199,92</w:t>
            </w:r>
          </w:p>
        </w:tc>
        <w:tc>
          <w:tcPr>
            <w:tcW w:w="1471" w:type="dxa"/>
            <w:shd w:val="clear" w:color="auto" w:fill="auto"/>
            <w:noWrap/>
            <w:vAlign w:val="center"/>
            <w:hideMark/>
          </w:tcPr>
          <w:p w14:paraId="15B62302" w14:textId="77777777" w:rsidR="006C0E52" w:rsidRPr="006C0E52" w:rsidRDefault="006C0E52" w:rsidP="00F14E81">
            <w:pPr>
              <w:jc w:val="right"/>
              <w:rPr>
                <w:i/>
                <w:color w:val="000000"/>
                <w:sz w:val="20"/>
                <w:szCs w:val="20"/>
                <w:lang w:val="es-CO" w:eastAsia="es-CO"/>
              </w:rPr>
            </w:pPr>
            <w:r w:rsidRPr="006C0E52">
              <w:rPr>
                <w:i/>
                <w:color w:val="000000"/>
                <w:sz w:val="20"/>
                <w:szCs w:val="20"/>
                <w:lang w:val="es-CO" w:eastAsia="es-CO"/>
              </w:rPr>
              <w:t>202,93</w:t>
            </w:r>
          </w:p>
        </w:tc>
        <w:tc>
          <w:tcPr>
            <w:tcW w:w="1472" w:type="dxa"/>
            <w:shd w:val="clear" w:color="auto" w:fill="auto"/>
            <w:noWrap/>
            <w:vAlign w:val="center"/>
            <w:hideMark/>
          </w:tcPr>
          <w:p w14:paraId="0769AE67" w14:textId="77777777" w:rsidR="006C0E52" w:rsidRPr="006C0E52" w:rsidRDefault="006C0E52" w:rsidP="00F14E81">
            <w:pPr>
              <w:jc w:val="right"/>
              <w:rPr>
                <w:i/>
                <w:color w:val="000000"/>
                <w:sz w:val="20"/>
                <w:szCs w:val="20"/>
                <w:lang w:val="es-CO" w:eastAsia="es-CO"/>
              </w:rPr>
            </w:pPr>
            <w:r w:rsidRPr="006C0E52">
              <w:rPr>
                <w:i/>
                <w:color w:val="000000"/>
                <w:sz w:val="20"/>
                <w:szCs w:val="20"/>
                <w:lang w:val="es-CO" w:eastAsia="es-CO"/>
              </w:rPr>
              <w:t>182,84</w:t>
            </w:r>
          </w:p>
        </w:tc>
      </w:tr>
      <w:tr w:rsidR="00F14E81" w:rsidRPr="006C0E52" w14:paraId="52C3CDE4" w14:textId="77777777" w:rsidTr="0075124B">
        <w:trPr>
          <w:trHeight w:val="300"/>
          <w:tblHeader/>
          <w:jc w:val="center"/>
        </w:trPr>
        <w:tc>
          <w:tcPr>
            <w:tcW w:w="1413" w:type="dxa"/>
            <w:vMerge/>
            <w:vAlign w:val="center"/>
            <w:hideMark/>
          </w:tcPr>
          <w:p w14:paraId="4A912E8C" w14:textId="77777777" w:rsidR="006C0E52" w:rsidRPr="006C0E52" w:rsidRDefault="006C0E52" w:rsidP="006C0E52">
            <w:pPr>
              <w:jc w:val="left"/>
              <w:rPr>
                <w:b/>
                <w:color w:val="000000"/>
                <w:sz w:val="20"/>
                <w:szCs w:val="20"/>
                <w:lang w:val="es-CO" w:eastAsia="es-CO"/>
              </w:rPr>
            </w:pPr>
          </w:p>
        </w:tc>
        <w:tc>
          <w:tcPr>
            <w:tcW w:w="2835" w:type="dxa"/>
            <w:shd w:val="clear" w:color="auto" w:fill="auto"/>
            <w:noWrap/>
            <w:vAlign w:val="center"/>
            <w:hideMark/>
          </w:tcPr>
          <w:p w14:paraId="3EB39FD4" w14:textId="2B5A4C4D" w:rsidR="006C0E52" w:rsidRPr="006C0E52" w:rsidRDefault="00F14E81" w:rsidP="00F14E81">
            <w:pPr>
              <w:jc w:val="left"/>
              <w:rPr>
                <w:i/>
                <w:color w:val="000000"/>
                <w:sz w:val="20"/>
                <w:szCs w:val="20"/>
                <w:lang w:val="es-CO" w:eastAsia="es-CO"/>
              </w:rPr>
            </w:pPr>
            <w:r>
              <w:rPr>
                <w:i/>
                <w:color w:val="000000"/>
                <w:sz w:val="20"/>
                <w:szCs w:val="20"/>
                <w:lang w:val="es-CO" w:eastAsia="es-CO"/>
              </w:rPr>
              <w:t xml:space="preserve">  </w:t>
            </w:r>
            <w:r w:rsidR="006C0E52" w:rsidRPr="006C0E52">
              <w:rPr>
                <w:i/>
                <w:color w:val="000000"/>
                <w:sz w:val="20"/>
                <w:szCs w:val="20"/>
                <w:lang w:val="es-CO" w:eastAsia="es-CO"/>
              </w:rPr>
              <w:t>Componente Gastos AOM</w:t>
            </w:r>
          </w:p>
        </w:tc>
        <w:tc>
          <w:tcPr>
            <w:tcW w:w="1471" w:type="dxa"/>
            <w:shd w:val="clear" w:color="auto" w:fill="auto"/>
            <w:noWrap/>
            <w:vAlign w:val="center"/>
            <w:hideMark/>
          </w:tcPr>
          <w:p w14:paraId="0C07623C" w14:textId="77777777" w:rsidR="006C0E52" w:rsidRPr="006C0E52" w:rsidRDefault="006C0E52" w:rsidP="00F14E81">
            <w:pPr>
              <w:jc w:val="right"/>
              <w:rPr>
                <w:i/>
                <w:color w:val="000000"/>
                <w:sz w:val="20"/>
                <w:szCs w:val="20"/>
                <w:lang w:val="es-CO" w:eastAsia="es-CO"/>
              </w:rPr>
            </w:pPr>
            <w:r w:rsidRPr="006C0E52">
              <w:rPr>
                <w:i/>
                <w:color w:val="000000"/>
                <w:sz w:val="20"/>
                <w:szCs w:val="20"/>
                <w:lang w:val="es-CO" w:eastAsia="es-CO"/>
              </w:rPr>
              <w:t>179,7</w:t>
            </w:r>
          </w:p>
        </w:tc>
        <w:tc>
          <w:tcPr>
            <w:tcW w:w="1471" w:type="dxa"/>
            <w:shd w:val="clear" w:color="auto" w:fill="auto"/>
            <w:noWrap/>
            <w:vAlign w:val="center"/>
            <w:hideMark/>
          </w:tcPr>
          <w:p w14:paraId="12503F96" w14:textId="77777777" w:rsidR="006C0E52" w:rsidRPr="006C0E52" w:rsidRDefault="006C0E52" w:rsidP="00F14E81">
            <w:pPr>
              <w:jc w:val="right"/>
              <w:rPr>
                <w:i/>
                <w:color w:val="000000"/>
                <w:sz w:val="20"/>
                <w:szCs w:val="20"/>
                <w:lang w:val="es-CO" w:eastAsia="es-CO"/>
              </w:rPr>
            </w:pPr>
            <w:r w:rsidRPr="006C0E52">
              <w:rPr>
                <w:i/>
                <w:color w:val="000000"/>
                <w:sz w:val="20"/>
                <w:szCs w:val="20"/>
                <w:lang w:val="es-CO" w:eastAsia="es-CO"/>
              </w:rPr>
              <w:t>179,7</w:t>
            </w:r>
          </w:p>
        </w:tc>
        <w:tc>
          <w:tcPr>
            <w:tcW w:w="1472" w:type="dxa"/>
            <w:shd w:val="clear" w:color="auto" w:fill="auto"/>
            <w:noWrap/>
            <w:vAlign w:val="center"/>
            <w:hideMark/>
          </w:tcPr>
          <w:p w14:paraId="2BA42247" w14:textId="77777777" w:rsidR="006C0E52" w:rsidRPr="006C0E52" w:rsidRDefault="006C0E52" w:rsidP="00F14E81">
            <w:pPr>
              <w:jc w:val="right"/>
              <w:rPr>
                <w:i/>
                <w:color w:val="000000"/>
                <w:sz w:val="20"/>
                <w:szCs w:val="20"/>
                <w:lang w:val="es-CO" w:eastAsia="es-CO"/>
              </w:rPr>
            </w:pPr>
            <w:r w:rsidRPr="006C0E52">
              <w:rPr>
                <w:i/>
                <w:color w:val="000000"/>
                <w:sz w:val="20"/>
                <w:szCs w:val="20"/>
                <w:lang w:val="es-CO" w:eastAsia="es-CO"/>
              </w:rPr>
              <w:t>179,79</w:t>
            </w:r>
          </w:p>
        </w:tc>
      </w:tr>
      <w:tr w:rsidR="00F14E81" w:rsidRPr="006C0E52" w14:paraId="5B53F6C4" w14:textId="77777777" w:rsidTr="0075124B">
        <w:trPr>
          <w:trHeight w:val="300"/>
          <w:jc w:val="center"/>
        </w:trPr>
        <w:tc>
          <w:tcPr>
            <w:tcW w:w="1413" w:type="dxa"/>
            <w:vMerge w:val="restart"/>
            <w:shd w:val="clear" w:color="auto" w:fill="D9D9D9" w:themeFill="background1" w:themeFillShade="D9"/>
            <w:vAlign w:val="center"/>
            <w:hideMark/>
          </w:tcPr>
          <w:p w14:paraId="3CBE8456" w14:textId="77777777" w:rsidR="006C0E52" w:rsidRPr="006C0E52" w:rsidRDefault="006C0E52" w:rsidP="006C0E52">
            <w:pPr>
              <w:jc w:val="center"/>
              <w:rPr>
                <w:b/>
                <w:color w:val="000000"/>
                <w:sz w:val="20"/>
                <w:szCs w:val="20"/>
                <w:lang w:val="es-CO" w:eastAsia="es-CO"/>
              </w:rPr>
            </w:pPr>
            <w:r w:rsidRPr="006C0E52">
              <w:rPr>
                <w:b/>
                <w:color w:val="000000"/>
                <w:sz w:val="20"/>
                <w:szCs w:val="20"/>
                <w:lang w:val="es-CO" w:eastAsia="es-CO"/>
              </w:rPr>
              <w:t>Corregidos</w:t>
            </w:r>
          </w:p>
        </w:tc>
        <w:tc>
          <w:tcPr>
            <w:tcW w:w="2835" w:type="dxa"/>
            <w:shd w:val="clear" w:color="auto" w:fill="D9D9D9" w:themeFill="background1" w:themeFillShade="D9"/>
            <w:noWrap/>
            <w:vAlign w:val="center"/>
            <w:hideMark/>
          </w:tcPr>
          <w:p w14:paraId="73E7AF48" w14:textId="77777777" w:rsidR="006C0E52" w:rsidRPr="006C0E52" w:rsidRDefault="006C0E52" w:rsidP="00F14E81">
            <w:pPr>
              <w:jc w:val="center"/>
              <w:rPr>
                <w:b/>
                <w:color w:val="000000"/>
                <w:sz w:val="20"/>
                <w:szCs w:val="20"/>
                <w:lang w:val="es-CO" w:eastAsia="es-CO"/>
              </w:rPr>
            </w:pPr>
            <w:r w:rsidRPr="006C0E52">
              <w:rPr>
                <w:b/>
                <w:color w:val="000000"/>
                <w:sz w:val="20"/>
                <w:szCs w:val="20"/>
                <w:lang w:val="es-CO" w:eastAsia="es-CO"/>
              </w:rPr>
              <w:t>$/m³</w:t>
            </w:r>
          </w:p>
        </w:tc>
        <w:tc>
          <w:tcPr>
            <w:tcW w:w="1471" w:type="dxa"/>
            <w:shd w:val="clear" w:color="auto" w:fill="D9D9D9" w:themeFill="background1" w:themeFillShade="D9"/>
            <w:noWrap/>
            <w:vAlign w:val="center"/>
            <w:hideMark/>
          </w:tcPr>
          <w:p w14:paraId="1A3C4768" w14:textId="77777777" w:rsidR="006C0E52" w:rsidRPr="006C0E52" w:rsidRDefault="006C0E52" w:rsidP="00F14E81">
            <w:pPr>
              <w:jc w:val="center"/>
              <w:rPr>
                <w:b/>
                <w:color w:val="000000"/>
                <w:sz w:val="20"/>
                <w:szCs w:val="20"/>
                <w:lang w:val="es-CO" w:eastAsia="es-CO"/>
              </w:rPr>
            </w:pPr>
            <w:r w:rsidRPr="006C0E52">
              <w:rPr>
                <w:b/>
                <w:color w:val="000000"/>
                <w:sz w:val="20"/>
                <w:szCs w:val="20"/>
                <w:lang w:val="es-CO" w:eastAsia="es-CO"/>
              </w:rPr>
              <w:t>2017</w:t>
            </w:r>
          </w:p>
        </w:tc>
        <w:tc>
          <w:tcPr>
            <w:tcW w:w="1471" w:type="dxa"/>
            <w:shd w:val="clear" w:color="auto" w:fill="D9D9D9" w:themeFill="background1" w:themeFillShade="D9"/>
            <w:noWrap/>
            <w:vAlign w:val="center"/>
            <w:hideMark/>
          </w:tcPr>
          <w:p w14:paraId="158C2A24" w14:textId="77777777" w:rsidR="006C0E52" w:rsidRPr="006C0E52" w:rsidRDefault="006C0E52" w:rsidP="00F14E81">
            <w:pPr>
              <w:jc w:val="center"/>
              <w:rPr>
                <w:b/>
                <w:color w:val="000000"/>
                <w:sz w:val="20"/>
                <w:szCs w:val="20"/>
                <w:lang w:val="es-CO" w:eastAsia="es-CO"/>
              </w:rPr>
            </w:pPr>
            <w:r w:rsidRPr="006C0E52">
              <w:rPr>
                <w:b/>
                <w:color w:val="000000"/>
                <w:sz w:val="20"/>
                <w:szCs w:val="20"/>
                <w:lang w:val="es-CO" w:eastAsia="es-CO"/>
              </w:rPr>
              <w:t>2018</w:t>
            </w:r>
          </w:p>
        </w:tc>
        <w:tc>
          <w:tcPr>
            <w:tcW w:w="1472" w:type="dxa"/>
            <w:shd w:val="clear" w:color="auto" w:fill="D9D9D9" w:themeFill="background1" w:themeFillShade="D9"/>
            <w:noWrap/>
            <w:vAlign w:val="center"/>
            <w:hideMark/>
          </w:tcPr>
          <w:p w14:paraId="3D3953E3" w14:textId="77777777" w:rsidR="006C0E52" w:rsidRPr="006C0E52" w:rsidRDefault="006C0E52" w:rsidP="00F14E81">
            <w:pPr>
              <w:jc w:val="center"/>
              <w:rPr>
                <w:b/>
                <w:color w:val="000000"/>
                <w:sz w:val="20"/>
                <w:szCs w:val="20"/>
                <w:lang w:val="es-CO" w:eastAsia="es-CO"/>
              </w:rPr>
            </w:pPr>
            <w:r w:rsidRPr="006C0E52">
              <w:rPr>
                <w:b/>
                <w:color w:val="000000"/>
                <w:sz w:val="20"/>
                <w:szCs w:val="20"/>
                <w:lang w:val="es-CO" w:eastAsia="es-CO"/>
              </w:rPr>
              <w:t>2019 - 2021</w:t>
            </w:r>
          </w:p>
        </w:tc>
      </w:tr>
      <w:tr w:rsidR="00F14E81" w:rsidRPr="006C0E52" w14:paraId="5BB022AE" w14:textId="77777777" w:rsidTr="0075124B">
        <w:trPr>
          <w:trHeight w:val="300"/>
          <w:jc w:val="center"/>
        </w:trPr>
        <w:tc>
          <w:tcPr>
            <w:tcW w:w="1413" w:type="dxa"/>
            <w:vMerge/>
            <w:shd w:val="clear" w:color="auto" w:fill="D9D9D9" w:themeFill="background1" w:themeFillShade="D9"/>
            <w:vAlign w:val="center"/>
            <w:hideMark/>
          </w:tcPr>
          <w:p w14:paraId="3F2EAC19" w14:textId="77777777" w:rsidR="006C0E52" w:rsidRPr="006C0E52" w:rsidRDefault="006C0E52" w:rsidP="006C0E52">
            <w:pPr>
              <w:jc w:val="left"/>
              <w:rPr>
                <w:b/>
                <w:color w:val="000000"/>
                <w:sz w:val="20"/>
                <w:szCs w:val="20"/>
                <w:lang w:val="es-CO" w:eastAsia="es-CO"/>
              </w:rPr>
            </w:pPr>
          </w:p>
        </w:tc>
        <w:tc>
          <w:tcPr>
            <w:tcW w:w="2835" w:type="dxa"/>
            <w:shd w:val="clear" w:color="auto" w:fill="auto"/>
            <w:noWrap/>
            <w:vAlign w:val="center"/>
            <w:hideMark/>
          </w:tcPr>
          <w:p w14:paraId="7C8D0E53" w14:textId="77777777" w:rsidR="006C0E52" w:rsidRPr="006C0E52" w:rsidRDefault="006C0E52" w:rsidP="00F14E81">
            <w:pPr>
              <w:jc w:val="left"/>
              <w:rPr>
                <w:color w:val="000000"/>
                <w:sz w:val="20"/>
                <w:szCs w:val="20"/>
                <w:lang w:val="es-CO" w:eastAsia="es-CO"/>
              </w:rPr>
            </w:pPr>
            <w:r w:rsidRPr="006C0E52">
              <w:rPr>
                <w:color w:val="000000"/>
                <w:sz w:val="20"/>
                <w:szCs w:val="20"/>
                <w:lang w:val="es-CO" w:eastAsia="es-CO"/>
              </w:rPr>
              <w:t>Cargo de distribución</w:t>
            </w:r>
          </w:p>
        </w:tc>
        <w:tc>
          <w:tcPr>
            <w:tcW w:w="1471" w:type="dxa"/>
            <w:shd w:val="clear" w:color="auto" w:fill="auto"/>
            <w:noWrap/>
            <w:vAlign w:val="center"/>
            <w:hideMark/>
          </w:tcPr>
          <w:p w14:paraId="4A6B7EC9" w14:textId="77777777" w:rsidR="006C0E52" w:rsidRPr="006C0E52" w:rsidRDefault="006C0E52" w:rsidP="00F14E81">
            <w:pPr>
              <w:jc w:val="right"/>
              <w:rPr>
                <w:color w:val="000000"/>
                <w:sz w:val="20"/>
                <w:szCs w:val="20"/>
                <w:lang w:val="es-CO" w:eastAsia="es-CO"/>
              </w:rPr>
            </w:pPr>
            <w:r w:rsidRPr="006C0E52">
              <w:rPr>
                <w:color w:val="000000"/>
                <w:sz w:val="20"/>
                <w:szCs w:val="20"/>
                <w:lang w:val="es-CO" w:eastAsia="es-CO"/>
              </w:rPr>
              <w:t>392,25</w:t>
            </w:r>
          </w:p>
        </w:tc>
        <w:tc>
          <w:tcPr>
            <w:tcW w:w="1471" w:type="dxa"/>
            <w:shd w:val="clear" w:color="auto" w:fill="auto"/>
            <w:noWrap/>
            <w:vAlign w:val="center"/>
            <w:hideMark/>
          </w:tcPr>
          <w:p w14:paraId="18EBCFF2" w14:textId="77777777" w:rsidR="006C0E52" w:rsidRPr="006C0E52" w:rsidRDefault="006C0E52" w:rsidP="00F14E81">
            <w:pPr>
              <w:jc w:val="right"/>
              <w:rPr>
                <w:color w:val="000000"/>
                <w:sz w:val="20"/>
                <w:szCs w:val="20"/>
                <w:lang w:val="es-CO" w:eastAsia="es-CO"/>
              </w:rPr>
            </w:pPr>
            <w:r w:rsidRPr="006C0E52">
              <w:rPr>
                <w:color w:val="000000"/>
                <w:sz w:val="20"/>
                <w:szCs w:val="20"/>
                <w:lang w:val="es-CO" w:eastAsia="es-CO"/>
              </w:rPr>
              <w:t>395,45</w:t>
            </w:r>
          </w:p>
        </w:tc>
        <w:tc>
          <w:tcPr>
            <w:tcW w:w="1472" w:type="dxa"/>
            <w:shd w:val="clear" w:color="auto" w:fill="auto"/>
            <w:noWrap/>
            <w:vAlign w:val="center"/>
            <w:hideMark/>
          </w:tcPr>
          <w:p w14:paraId="2995321C" w14:textId="77777777" w:rsidR="006C0E52" w:rsidRPr="006C0E52" w:rsidRDefault="006C0E52" w:rsidP="00F14E81">
            <w:pPr>
              <w:jc w:val="right"/>
              <w:rPr>
                <w:color w:val="000000"/>
                <w:sz w:val="20"/>
                <w:szCs w:val="20"/>
                <w:lang w:val="es-CO" w:eastAsia="es-CO"/>
              </w:rPr>
            </w:pPr>
            <w:r w:rsidRPr="006C0E52">
              <w:rPr>
                <w:color w:val="000000"/>
                <w:sz w:val="20"/>
                <w:szCs w:val="20"/>
                <w:lang w:val="es-CO" w:eastAsia="es-CO"/>
              </w:rPr>
              <w:t>374,18</w:t>
            </w:r>
          </w:p>
        </w:tc>
      </w:tr>
      <w:tr w:rsidR="00F14E81" w:rsidRPr="006C0E52" w14:paraId="349016B1" w14:textId="77777777" w:rsidTr="0075124B">
        <w:trPr>
          <w:trHeight w:val="300"/>
          <w:jc w:val="center"/>
        </w:trPr>
        <w:tc>
          <w:tcPr>
            <w:tcW w:w="1413" w:type="dxa"/>
            <w:vMerge/>
            <w:shd w:val="clear" w:color="auto" w:fill="D9D9D9" w:themeFill="background1" w:themeFillShade="D9"/>
            <w:vAlign w:val="center"/>
            <w:hideMark/>
          </w:tcPr>
          <w:p w14:paraId="0F2F4422" w14:textId="77777777" w:rsidR="006C0E52" w:rsidRPr="006C0E52" w:rsidRDefault="006C0E52" w:rsidP="006C0E52">
            <w:pPr>
              <w:jc w:val="left"/>
              <w:rPr>
                <w:b/>
                <w:color w:val="000000"/>
                <w:sz w:val="20"/>
                <w:szCs w:val="20"/>
                <w:lang w:val="es-CO" w:eastAsia="es-CO"/>
              </w:rPr>
            </w:pPr>
          </w:p>
        </w:tc>
        <w:tc>
          <w:tcPr>
            <w:tcW w:w="2835" w:type="dxa"/>
            <w:shd w:val="clear" w:color="auto" w:fill="auto"/>
            <w:noWrap/>
            <w:vAlign w:val="center"/>
            <w:hideMark/>
          </w:tcPr>
          <w:p w14:paraId="23557471" w14:textId="754A1D6E" w:rsidR="006C0E52" w:rsidRPr="006C0E52" w:rsidRDefault="00F14E81" w:rsidP="00F14E81">
            <w:pPr>
              <w:jc w:val="left"/>
              <w:rPr>
                <w:i/>
                <w:color w:val="000000"/>
                <w:sz w:val="20"/>
                <w:szCs w:val="20"/>
                <w:lang w:val="es-CO" w:eastAsia="es-CO"/>
              </w:rPr>
            </w:pPr>
            <w:r>
              <w:rPr>
                <w:i/>
                <w:color w:val="000000"/>
                <w:sz w:val="20"/>
                <w:szCs w:val="20"/>
                <w:lang w:val="es-CO" w:eastAsia="es-CO"/>
              </w:rPr>
              <w:t xml:space="preserve">  </w:t>
            </w:r>
            <w:r w:rsidR="006C0E52" w:rsidRPr="006C0E52">
              <w:rPr>
                <w:i/>
                <w:color w:val="000000"/>
                <w:sz w:val="20"/>
                <w:szCs w:val="20"/>
                <w:lang w:val="es-CO" w:eastAsia="es-CO"/>
              </w:rPr>
              <w:t>Componente de inversión</w:t>
            </w:r>
          </w:p>
        </w:tc>
        <w:tc>
          <w:tcPr>
            <w:tcW w:w="1471" w:type="dxa"/>
            <w:shd w:val="clear" w:color="auto" w:fill="auto"/>
            <w:noWrap/>
            <w:vAlign w:val="center"/>
            <w:hideMark/>
          </w:tcPr>
          <w:p w14:paraId="2060CD59" w14:textId="77777777" w:rsidR="006C0E52" w:rsidRPr="006C0E52" w:rsidRDefault="006C0E52" w:rsidP="00F14E81">
            <w:pPr>
              <w:jc w:val="right"/>
              <w:rPr>
                <w:i/>
                <w:color w:val="000000"/>
                <w:sz w:val="20"/>
                <w:szCs w:val="20"/>
                <w:lang w:val="es-CO" w:eastAsia="es-CO"/>
              </w:rPr>
            </w:pPr>
            <w:r w:rsidRPr="006C0E52">
              <w:rPr>
                <w:i/>
                <w:color w:val="000000"/>
                <w:sz w:val="20"/>
                <w:szCs w:val="20"/>
                <w:lang w:val="es-CO" w:eastAsia="es-CO"/>
              </w:rPr>
              <w:t>212,55</w:t>
            </w:r>
          </w:p>
        </w:tc>
        <w:tc>
          <w:tcPr>
            <w:tcW w:w="1471" w:type="dxa"/>
            <w:shd w:val="clear" w:color="auto" w:fill="auto"/>
            <w:noWrap/>
            <w:vAlign w:val="center"/>
            <w:hideMark/>
          </w:tcPr>
          <w:p w14:paraId="3CB28EF2" w14:textId="77777777" w:rsidR="006C0E52" w:rsidRPr="006C0E52" w:rsidRDefault="006C0E52" w:rsidP="00F14E81">
            <w:pPr>
              <w:jc w:val="right"/>
              <w:rPr>
                <w:i/>
                <w:color w:val="000000"/>
                <w:sz w:val="20"/>
                <w:szCs w:val="20"/>
                <w:lang w:val="es-CO" w:eastAsia="es-CO"/>
              </w:rPr>
            </w:pPr>
            <w:r w:rsidRPr="006C0E52">
              <w:rPr>
                <w:i/>
                <w:color w:val="000000"/>
                <w:sz w:val="20"/>
                <w:szCs w:val="20"/>
                <w:lang w:val="es-CO" w:eastAsia="es-CO"/>
              </w:rPr>
              <w:t>215,75</w:t>
            </w:r>
          </w:p>
        </w:tc>
        <w:tc>
          <w:tcPr>
            <w:tcW w:w="1472" w:type="dxa"/>
            <w:shd w:val="clear" w:color="auto" w:fill="auto"/>
            <w:noWrap/>
            <w:vAlign w:val="center"/>
            <w:hideMark/>
          </w:tcPr>
          <w:p w14:paraId="2922BBEC" w14:textId="77777777" w:rsidR="006C0E52" w:rsidRPr="006C0E52" w:rsidRDefault="006C0E52" w:rsidP="00F14E81">
            <w:pPr>
              <w:jc w:val="right"/>
              <w:rPr>
                <w:i/>
                <w:color w:val="000000"/>
                <w:sz w:val="20"/>
                <w:szCs w:val="20"/>
                <w:lang w:val="es-CO" w:eastAsia="es-CO"/>
              </w:rPr>
            </w:pPr>
            <w:r w:rsidRPr="006C0E52">
              <w:rPr>
                <w:i/>
                <w:color w:val="000000"/>
                <w:sz w:val="20"/>
                <w:szCs w:val="20"/>
                <w:lang w:val="es-CO" w:eastAsia="es-CO"/>
              </w:rPr>
              <w:t>194,39</w:t>
            </w:r>
          </w:p>
        </w:tc>
      </w:tr>
      <w:tr w:rsidR="00F14E81" w:rsidRPr="006C0E52" w14:paraId="2E70FBCE" w14:textId="77777777" w:rsidTr="0075124B">
        <w:trPr>
          <w:trHeight w:val="300"/>
          <w:jc w:val="center"/>
        </w:trPr>
        <w:tc>
          <w:tcPr>
            <w:tcW w:w="1413" w:type="dxa"/>
            <w:vMerge/>
            <w:shd w:val="clear" w:color="auto" w:fill="D9D9D9" w:themeFill="background1" w:themeFillShade="D9"/>
            <w:vAlign w:val="center"/>
            <w:hideMark/>
          </w:tcPr>
          <w:p w14:paraId="16C3427E" w14:textId="77777777" w:rsidR="006C0E52" w:rsidRPr="006C0E52" w:rsidRDefault="006C0E52" w:rsidP="006C0E52">
            <w:pPr>
              <w:jc w:val="left"/>
              <w:rPr>
                <w:b/>
                <w:color w:val="000000"/>
                <w:sz w:val="20"/>
                <w:szCs w:val="20"/>
                <w:lang w:val="es-CO" w:eastAsia="es-CO"/>
              </w:rPr>
            </w:pPr>
          </w:p>
        </w:tc>
        <w:tc>
          <w:tcPr>
            <w:tcW w:w="2835" w:type="dxa"/>
            <w:shd w:val="clear" w:color="auto" w:fill="auto"/>
            <w:noWrap/>
            <w:vAlign w:val="center"/>
            <w:hideMark/>
          </w:tcPr>
          <w:p w14:paraId="5BDAAC78" w14:textId="7B024852" w:rsidR="006C0E52" w:rsidRPr="006C0E52" w:rsidRDefault="00F14E81" w:rsidP="00F14E81">
            <w:pPr>
              <w:jc w:val="left"/>
              <w:rPr>
                <w:i/>
                <w:color w:val="000000"/>
                <w:sz w:val="20"/>
                <w:szCs w:val="20"/>
                <w:lang w:val="es-CO" w:eastAsia="es-CO"/>
              </w:rPr>
            </w:pPr>
            <w:r>
              <w:rPr>
                <w:i/>
                <w:color w:val="000000"/>
                <w:sz w:val="20"/>
                <w:szCs w:val="20"/>
                <w:lang w:val="es-CO" w:eastAsia="es-CO"/>
              </w:rPr>
              <w:t xml:space="preserve">  </w:t>
            </w:r>
            <w:r w:rsidR="006C0E52" w:rsidRPr="006C0E52">
              <w:rPr>
                <w:i/>
                <w:color w:val="000000"/>
                <w:sz w:val="20"/>
                <w:szCs w:val="20"/>
                <w:lang w:val="es-CO" w:eastAsia="es-CO"/>
              </w:rPr>
              <w:t>Componente Gastos AOM</w:t>
            </w:r>
          </w:p>
        </w:tc>
        <w:tc>
          <w:tcPr>
            <w:tcW w:w="1471" w:type="dxa"/>
            <w:shd w:val="clear" w:color="auto" w:fill="auto"/>
            <w:noWrap/>
            <w:vAlign w:val="center"/>
            <w:hideMark/>
          </w:tcPr>
          <w:p w14:paraId="6F17697B" w14:textId="77777777" w:rsidR="006C0E52" w:rsidRPr="006C0E52" w:rsidRDefault="006C0E52" w:rsidP="00F14E81">
            <w:pPr>
              <w:jc w:val="right"/>
              <w:rPr>
                <w:i/>
                <w:color w:val="000000"/>
                <w:sz w:val="20"/>
                <w:szCs w:val="20"/>
                <w:lang w:val="es-CO" w:eastAsia="es-CO"/>
              </w:rPr>
            </w:pPr>
            <w:r w:rsidRPr="006C0E52">
              <w:rPr>
                <w:i/>
                <w:color w:val="000000"/>
                <w:sz w:val="20"/>
                <w:szCs w:val="20"/>
                <w:lang w:val="es-CO" w:eastAsia="es-CO"/>
              </w:rPr>
              <w:t>179,7</w:t>
            </w:r>
          </w:p>
        </w:tc>
        <w:tc>
          <w:tcPr>
            <w:tcW w:w="1471" w:type="dxa"/>
            <w:shd w:val="clear" w:color="auto" w:fill="auto"/>
            <w:noWrap/>
            <w:vAlign w:val="center"/>
            <w:hideMark/>
          </w:tcPr>
          <w:p w14:paraId="7036977B" w14:textId="77777777" w:rsidR="006C0E52" w:rsidRPr="006C0E52" w:rsidRDefault="006C0E52" w:rsidP="00F14E81">
            <w:pPr>
              <w:jc w:val="right"/>
              <w:rPr>
                <w:i/>
                <w:color w:val="000000"/>
                <w:sz w:val="20"/>
                <w:szCs w:val="20"/>
                <w:lang w:val="es-CO" w:eastAsia="es-CO"/>
              </w:rPr>
            </w:pPr>
            <w:r w:rsidRPr="006C0E52">
              <w:rPr>
                <w:i/>
                <w:color w:val="000000"/>
                <w:sz w:val="20"/>
                <w:szCs w:val="20"/>
                <w:lang w:val="es-CO" w:eastAsia="es-CO"/>
              </w:rPr>
              <w:t>179,7</w:t>
            </w:r>
          </w:p>
        </w:tc>
        <w:tc>
          <w:tcPr>
            <w:tcW w:w="1472" w:type="dxa"/>
            <w:shd w:val="clear" w:color="auto" w:fill="auto"/>
            <w:noWrap/>
            <w:vAlign w:val="center"/>
            <w:hideMark/>
          </w:tcPr>
          <w:p w14:paraId="795E3700" w14:textId="77777777" w:rsidR="006C0E52" w:rsidRPr="006C0E52" w:rsidRDefault="006C0E52" w:rsidP="00F14E81">
            <w:pPr>
              <w:jc w:val="right"/>
              <w:rPr>
                <w:i/>
                <w:color w:val="000000"/>
                <w:sz w:val="20"/>
                <w:szCs w:val="20"/>
                <w:lang w:val="es-CO" w:eastAsia="es-CO"/>
              </w:rPr>
            </w:pPr>
            <w:r w:rsidRPr="006C0E52">
              <w:rPr>
                <w:i/>
                <w:color w:val="000000"/>
                <w:sz w:val="20"/>
                <w:szCs w:val="20"/>
                <w:lang w:val="es-CO" w:eastAsia="es-CO"/>
              </w:rPr>
              <w:t>179,79</w:t>
            </w:r>
          </w:p>
        </w:tc>
      </w:tr>
      <w:tr w:rsidR="00F14E81" w:rsidRPr="006C0E52" w14:paraId="14061478" w14:textId="77777777" w:rsidTr="0075124B">
        <w:trPr>
          <w:trHeight w:val="300"/>
          <w:jc w:val="center"/>
        </w:trPr>
        <w:tc>
          <w:tcPr>
            <w:tcW w:w="1413" w:type="dxa"/>
            <w:vMerge w:val="restart"/>
            <w:shd w:val="clear" w:color="auto" w:fill="D9D9D9" w:themeFill="background1" w:themeFillShade="D9"/>
            <w:vAlign w:val="center"/>
            <w:hideMark/>
          </w:tcPr>
          <w:p w14:paraId="3F78CA9A" w14:textId="77777777" w:rsidR="006C0E52" w:rsidRPr="006C0E52" w:rsidRDefault="006C0E52" w:rsidP="006C0E52">
            <w:pPr>
              <w:jc w:val="center"/>
              <w:rPr>
                <w:b/>
                <w:color w:val="000000"/>
                <w:sz w:val="20"/>
                <w:szCs w:val="20"/>
                <w:lang w:val="es-CO" w:eastAsia="es-CO"/>
              </w:rPr>
            </w:pPr>
            <w:r w:rsidRPr="006C0E52">
              <w:rPr>
                <w:b/>
                <w:color w:val="000000"/>
                <w:sz w:val="20"/>
                <w:szCs w:val="20"/>
                <w:lang w:val="es-CO" w:eastAsia="es-CO"/>
              </w:rPr>
              <w:t>Diferencia</w:t>
            </w:r>
          </w:p>
        </w:tc>
        <w:tc>
          <w:tcPr>
            <w:tcW w:w="2835" w:type="dxa"/>
            <w:shd w:val="clear" w:color="auto" w:fill="D9D9D9" w:themeFill="background1" w:themeFillShade="D9"/>
            <w:noWrap/>
            <w:vAlign w:val="center"/>
            <w:hideMark/>
          </w:tcPr>
          <w:p w14:paraId="18015BB3" w14:textId="77777777" w:rsidR="006C0E52" w:rsidRPr="006C0E52" w:rsidRDefault="006C0E52" w:rsidP="00F14E81">
            <w:pPr>
              <w:jc w:val="center"/>
              <w:rPr>
                <w:b/>
                <w:color w:val="000000"/>
                <w:sz w:val="20"/>
                <w:szCs w:val="20"/>
                <w:lang w:val="es-CO" w:eastAsia="es-CO"/>
              </w:rPr>
            </w:pPr>
            <w:r w:rsidRPr="006C0E52">
              <w:rPr>
                <w:b/>
                <w:color w:val="000000"/>
                <w:sz w:val="20"/>
                <w:szCs w:val="20"/>
                <w:lang w:val="es-CO" w:eastAsia="es-CO"/>
              </w:rPr>
              <w:t>$/m³</w:t>
            </w:r>
          </w:p>
        </w:tc>
        <w:tc>
          <w:tcPr>
            <w:tcW w:w="1471" w:type="dxa"/>
            <w:shd w:val="clear" w:color="auto" w:fill="D9D9D9" w:themeFill="background1" w:themeFillShade="D9"/>
            <w:noWrap/>
            <w:vAlign w:val="center"/>
            <w:hideMark/>
          </w:tcPr>
          <w:p w14:paraId="0727AF22" w14:textId="77777777" w:rsidR="006C0E52" w:rsidRPr="006C0E52" w:rsidRDefault="006C0E52" w:rsidP="00F14E81">
            <w:pPr>
              <w:jc w:val="center"/>
              <w:rPr>
                <w:b/>
                <w:color w:val="000000"/>
                <w:sz w:val="20"/>
                <w:szCs w:val="20"/>
                <w:lang w:val="es-CO" w:eastAsia="es-CO"/>
              </w:rPr>
            </w:pPr>
            <w:r w:rsidRPr="006C0E52">
              <w:rPr>
                <w:b/>
                <w:color w:val="000000"/>
                <w:sz w:val="20"/>
                <w:szCs w:val="20"/>
                <w:lang w:val="es-CO" w:eastAsia="es-CO"/>
              </w:rPr>
              <w:t>2017</w:t>
            </w:r>
          </w:p>
        </w:tc>
        <w:tc>
          <w:tcPr>
            <w:tcW w:w="1471" w:type="dxa"/>
            <w:shd w:val="clear" w:color="auto" w:fill="D9D9D9" w:themeFill="background1" w:themeFillShade="D9"/>
            <w:noWrap/>
            <w:vAlign w:val="center"/>
            <w:hideMark/>
          </w:tcPr>
          <w:p w14:paraId="18765B4F" w14:textId="77777777" w:rsidR="006C0E52" w:rsidRPr="006C0E52" w:rsidRDefault="006C0E52" w:rsidP="00F14E81">
            <w:pPr>
              <w:jc w:val="center"/>
              <w:rPr>
                <w:b/>
                <w:color w:val="000000"/>
                <w:sz w:val="20"/>
                <w:szCs w:val="20"/>
                <w:lang w:val="es-CO" w:eastAsia="es-CO"/>
              </w:rPr>
            </w:pPr>
            <w:r w:rsidRPr="006C0E52">
              <w:rPr>
                <w:b/>
                <w:color w:val="000000"/>
                <w:sz w:val="20"/>
                <w:szCs w:val="20"/>
                <w:lang w:val="es-CO" w:eastAsia="es-CO"/>
              </w:rPr>
              <w:t>2018</w:t>
            </w:r>
          </w:p>
        </w:tc>
        <w:tc>
          <w:tcPr>
            <w:tcW w:w="1472" w:type="dxa"/>
            <w:shd w:val="clear" w:color="auto" w:fill="D9D9D9" w:themeFill="background1" w:themeFillShade="D9"/>
            <w:noWrap/>
            <w:vAlign w:val="center"/>
            <w:hideMark/>
          </w:tcPr>
          <w:p w14:paraId="0F99A2C5" w14:textId="77777777" w:rsidR="006C0E52" w:rsidRPr="006C0E52" w:rsidRDefault="006C0E52" w:rsidP="00F14E81">
            <w:pPr>
              <w:jc w:val="center"/>
              <w:rPr>
                <w:b/>
                <w:color w:val="000000"/>
                <w:sz w:val="20"/>
                <w:szCs w:val="20"/>
                <w:lang w:val="es-CO" w:eastAsia="es-CO"/>
              </w:rPr>
            </w:pPr>
            <w:r w:rsidRPr="006C0E52">
              <w:rPr>
                <w:b/>
                <w:color w:val="000000"/>
                <w:sz w:val="20"/>
                <w:szCs w:val="20"/>
                <w:lang w:val="es-CO" w:eastAsia="es-CO"/>
              </w:rPr>
              <w:t>2019 - 2021</w:t>
            </w:r>
          </w:p>
        </w:tc>
      </w:tr>
      <w:tr w:rsidR="00F14E81" w:rsidRPr="006C0E52" w14:paraId="5B2AD6FF" w14:textId="77777777" w:rsidTr="0075124B">
        <w:trPr>
          <w:trHeight w:val="300"/>
          <w:jc w:val="center"/>
        </w:trPr>
        <w:tc>
          <w:tcPr>
            <w:tcW w:w="1413" w:type="dxa"/>
            <w:vMerge/>
            <w:shd w:val="clear" w:color="auto" w:fill="D9D9D9" w:themeFill="background1" w:themeFillShade="D9"/>
            <w:vAlign w:val="center"/>
            <w:hideMark/>
          </w:tcPr>
          <w:p w14:paraId="484BFC36" w14:textId="77777777" w:rsidR="006C0E52" w:rsidRPr="006C0E52" w:rsidRDefault="006C0E52" w:rsidP="006C0E52">
            <w:pPr>
              <w:jc w:val="left"/>
              <w:rPr>
                <w:color w:val="000000"/>
                <w:sz w:val="20"/>
                <w:szCs w:val="20"/>
                <w:lang w:val="es-CO" w:eastAsia="es-CO"/>
              </w:rPr>
            </w:pPr>
          </w:p>
        </w:tc>
        <w:tc>
          <w:tcPr>
            <w:tcW w:w="2835" w:type="dxa"/>
            <w:shd w:val="clear" w:color="auto" w:fill="auto"/>
            <w:noWrap/>
            <w:vAlign w:val="center"/>
            <w:hideMark/>
          </w:tcPr>
          <w:p w14:paraId="26177B6F" w14:textId="77777777" w:rsidR="006C0E52" w:rsidRPr="006C0E52" w:rsidRDefault="006C0E52" w:rsidP="00F14E81">
            <w:pPr>
              <w:jc w:val="left"/>
              <w:rPr>
                <w:color w:val="000000"/>
                <w:sz w:val="20"/>
                <w:szCs w:val="20"/>
                <w:lang w:val="es-CO" w:eastAsia="es-CO"/>
              </w:rPr>
            </w:pPr>
            <w:r w:rsidRPr="006C0E52">
              <w:rPr>
                <w:color w:val="000000"/>
                <w:sz w:val="20"/>
                <w:szCs w:val="20"/>
                <w:lang w:val="es-CO" w:eastAsia="es-CO"/>
              </w:rPr>
              <w:t>Cargo de distribución</w:t>
            </w:r>
          </w:p>
        </w:tc>
        <w:tc>
          <w:tcPr>
            <w:tcW w:w="1471" w:type="dxa"/>
            <w:shd w:val="clear" w:color="auto" w:fill="auto"/>
            <w:noWrap/>
            <w:vAlign w:val="center"/>
            <w:hideMark/>
          </w:tcPr>
          <w:p w14:paraId="6DE726AA" w14:textId="77777777" w:rsidR="006C0E52" w:rsidRPr="006C0E52" w:rsidRDefault="006C0E52" w:rsidP="00F14E81">
            <w:pPr>
              <w:jc w:val="right"/>
              <w:rPr>
                <w:color w:val="000000"/>
                <w:sz w:val="20"/>
                <w:szCs w:val="20"/>
                <w:lang w:val="es-CO" w:eastAsia="es-CO"/>
              </w:rPr>
            </w:pPr>
            <w:r w:rsidRPr="006C0E52">
              <w:rPr>
                <w:color w:val="000000"/>
                <w:sz w:val="20"/>
                <w:szCs w:val="20"/>
                <w:lang w:val="es-CO" w:eastAsia="es-CO"/>
              </w:rPr>
              <w:t>12,63</w:t>
            </w:r>
          </w:p>
        </w:tc>
        <w:tc>
          <w:tcPr>
            <w:tcW w:w="1471" w:type="dxa"/>
            <w:shd w:val="clear" w:color="auto" w:fill="auto"/>
            <w:noWrap/>
            <w:vAlign w:val="center"/>
            <w:hideMark/>
          </w:tcPr>
          <w:p w14:paraId="57C343B0" w14:textId="77777777" w:rsidR="006C0E52" w:rsidRPr="006C0E52" w:rsidRDefault="006C0E52" w:rsidP="00F14E81">
            <w:pPr>
              <w:jc w:val="right"/>
              <w:rPr>
                <w:color w:val="000000"/>
                <w:sz w:val="20"/>
                <w:szCs w:val="20"/>
                <w:lang w:val="es-CO" w:eastAsia="es-CO"/>
              </w:rPr>
            </w:pPr>
            <w:r w:rsidRPr="006C0E52">
              <w:rPr>
                <w:color w:val="000000"/>
                <w:sz w:val="20"/>
                <w:szCs w:val="20"/>
                <w:lang w:val="es-CO" w:eastAsia="es-CO"/>
              </w:rPr>
              <w:t>12,82</w:t>
            </w:r>
          </w:p>
        </w:tc>
        <w:tc>
          <w:tcPr>
            <w:tcW w:w="1472" w:type="dxa"/>
            <w:shd w:val="clear" w:color="auto" w:fill="auto"/>
            <w:noWrap/>
            <w:vAlign w:val="center"/>
            <w:hideMark/>
          </w:tcPr>
          <w:p w14:paraId="7908A18F" w14:textId="77777777" w:rsidR="006C0E52" w:rsidRPr="006C0E52" w:rsidRDefault="006C0E52" w:rsidP="00F14E81">
            <w:pPr>
              <w:jc w:val="right"/>
              <w:rPr>
                <w:color w:val="000000"/>
                <w:sz w:val="20"/>
                <w:szCs w:val="20"/>
                <w:lang w:val="es-CO" w:eastAsia="es-CO"/>
              </w:rPr>
            </w:pPr>
            <w:r w:rsidRPr="006C0E52">
              <w:rPr>
                <w:color w:val="000000"/>
                <w:sz w:val="20"/>
                <w:szCs w:val="20"/>
                <w:lang w:val="es-CO" w:eastAsia="es-CO"/>
              </w:rPr>
              <w:t>11,55</w:t>
            </w:r>
          </w:p>
        </w:tc>
      </w:tr>
      <w:tr w:rsidR="00F14E81" w:rsidRPr="006C0E52" w14:paraId="5B9BB536" w14:textId="77777777" w:rsidTr="0075124B">
        <w:trPr>
          <w:trHeight w:val="300"/>
          <w:jc w:val="center"/>
        </w:trPr>
        <w:tc>
          <w:tcPr>
            <w:tcW w:w="1413" w:type="dxa"/>
            <w:vMerge/>
            <w:shd w:val="clear" w:color="auto" w:fill="D9D9D9" w:themeFill="background1" w:themeFillShade="D9"/>
            <w:vAlign w:val="center"/>
            <w:hideMark/>
          </w:tcPr>
          <w:p w14:paraId="1586CBC8" w14:textId="77777777" w:rsidR="006C0E52" w:rsidRPr="006C0E52" w:rsidRDefault="006C0E52" w:rsidP="006C0E52">
            <w:pPr>
              <w:jc w:val="left"/>
              <w:rPr>
                <w:color w:val="000000"/>
                <w:sz w:val="20"/>
                <w:szCs w:val="20"/>
                <w:lang w:val="es-CO" w:eastAsia="es-CO"/>
              </w:rPr>
            </w:pPr>
          </w:p>
        </w:tc>
        <w:tc>
          <w:tcPr>
            <w:tcW w:w="2835" w:type="dxa"/>
            <w:shd w:val="clear" w:color="auto" w:fill="auto"/>
            <w:noWrap/>
            <w:vAlign w:val="center"/>
            <w:hideMark/>
          </w:tcPr>
          <w:p w14:paraId="6F4474A5" w14:textId="033CF9B5" w:rsidR="006C0E52" w:rsidRPr="006C0E52" w:rsidRDefault="00F14E81" w:rsidP="00F14E81">
            <w:pPr>
              <w:jc w:val="left"/>
              <w:rPr>
                <w:i/>
                <w:color w:val="000000"/>
                <w:sz w:val="20"/>
                <w:szCs w:val="20"/>
                <w:lang w:val="es-CO" w:eastAsia="es-CO"/>
              </w:rPr>
            </w:pPr>
            <w:r>
              <w:rPr>
                <w:i/>
                <w:color w:val="000000"/>
                <w:sz w:val="20"/>
                <w:szCs w:val="20"/>
                <w:lang w:val="es-CO" w:eastAsia="es-CO"/>
              </w:rPr>
              <w:t xml:space="preserve">  </w:t>
            </w:r>
            <w:r w:rsidR="006C0E52" w:rsidRPr="006C0E52">
              <w:rPr>
                <w:i/>
                <w:color w:val="000000"/>
                <w:sz w:val="20"/>
                <w:szCs w:val="20"/>
                <w:lang w:val="es-CO" w:eastAsia="es-CO"/>
              </w:rPr>
              <w:t>Componente de inversión</w:t>
            </w:r>
          </w:p>
        </w:tc>
        <w:tc>
          <w:tcPr>
            <w:tcW w:w="1471" w:type="dxa"/>
            <w:shd w:val="clear" w:color="auto" w:fill="auto"/>
            <w:noWrap/>
            <w:vAlign w:val="center"/>
            <w:hideMark/>
          </w:tcPr>
          <w:p w14:paraId="303BD89A" w14:textId="77777777" w:rsidR="006C0E52" w:rsidRPr="006C0E52" w:rsidRDefault="006C0E52" w:rsidP="00F14E81">
            <w:pPr>
              <w:jc w:val="right"/>
              <w:rPr>
                <w:i/>
                <w:color w:val="000000"/>
                <w:sz w:val="20"/>
                <w:szCs w:val="20"/>
                <w:lang w:val="es-CO" w:eastAsia="es-CO"/>
              </w:rPr>
            </w:pPr>
            <w:r w:rsidRPr="006C0E52">
              <w:rPr>
                <w:i/>
                <w:color w:val="000000"/>
                <w:sz w:val="20"/>
                <w:szCs w:val="20"/>
                <w:lang w:val="es-CO" w:eastAsia="es-CO"/>
              </w:rPr>
              <w:t>12,63</w:t>
            </w:r>
          </w:p>
        </w:tc>
        <w:tc>
          <w:tcPr>
            <w:tcW w:w="1471" w:type="dxa"/>
            <w:shd w:val="clear" w:color="auto" w:fill="auto"/>
            <w:noWrap/>
            <w:vAlign w:val="center"/>
            <w:hideMark/>
          </w:tcPr>
          <w:p w14:paraId="02F14CC3" w14:textId="77777777" w:rsidR="006C0E52" w:rsidRPr="006C0E52" w:rsidRDefault="006C0E52" w:rsidP="00F14E81">
            <w:pPr>
              <w:jc w:val="right"/>
              <w:rPr>
                <w:i/>
                <w:color w:val="000000"/>
                <w:sz w:val="20"/>
                <w:szCs w:val="20"/>
                <w:lang w:val="es-CO" w:eastAsia="es-CO"/>
              </w:rPr>
            </w:pPr>
            <w:r w:rsidRPr="006C0E52">
              <w:rPr>
                <w:i/>
                <w:color w:val="000000"/>
                <w:sz w:val="20"/>
                <w:szCs w:val="20"/>
                <w:lang w:val="es-CO" w:eastAsia="es-CO"/>
              </w:rPr>
              <w:t>12,82</w:t>
            </w:r>
          </w:p>
        </w:tc>
        <w:tc>
          <w:tcPr>
            <w:tcW w:w="1472" w:type="dxa"/>
            <w:shd w:val="clear" w:color="auto" w:fill="auto"/>
            <w:noWrap/>
            <w:vAlign w:val="center"/>
            <w:hideMark/>
          </w:tcPr>
          <w:p w14:paraId="7E1A8CE2" w14:textId="77777777" w:rsidR="006C0E52" w:rsidRPr="006C0E52" w:rsidRDefault="006C0E52" w:rsidP="00F14E81">
            <w:pPr>
              <w:jc w:val="right"/>
              <w:rPr>
                <w:i/>
                <w:color w:val="000000"/>
                <w:sz w:val="20"/>
                <w:szCs w:val="20"/>
                <w:lang w:val="es-CO" w:eastAsia="es-CO"/>
              </w:rPr>
            </w:pPr>
            <w:r w:rsidRPr="006C0E52">
              <w:rPr>
                <w:i/>
                <w:color w:val="000000"/>
                <w:sz w:val="20"/>
                <w:szCs w:val="20"/>
                <w:lang w:val="es-CO" w:eastAsia="es-CO"/>
              </w:rPr>
              <w:t>11,55</w:t>
            </w:r>
          </w:p>
        </w:tc>
      </w:tr>
      <w:tr w:rsidR="00F14E81" w:rsidRPr="006C0E52" w14:paraId="27533588" w14:textId="77777777" w:rsidTr="0075124B">
        <w:trPr>
          <w:trHeight w:val="310"/>
          <w:jc w:val="center"/>
        </w:trPr>
        <w:tc>
          <w:tcPr>
            <w:tcW w:w="1413" w:type="dxa"/>
            <w:vMerge/>
            <w:shd w:val="clear" w:color="auto" w:fill="D9D9D9" w:themeFill="background1" w:themeFillShade="D9"/>
            <w:vAlign w:val="center"/>
            <w:hideMark/>
          </w:tcPr>
          <w:p w14:paraId="7F83B3CD" w14:textId="77777777" w:rsidR="006C0E52" w:rsidRPr="006C0E52" w:rsidRDefault="006C0E52" w:rsidP="006C0E52">
            <w:pPr>
              <w:jc w:val="left"/>
              <w:rPr>
                <w:color w:val="000000"/>
                <w:sz w:val="20"/>
                <w:szCs w:val="20"/>
                <w:lang w:val="es-CO" w:eastAsia="es-CO"/>
              </w:rPr>
            </w:pPr>
          </w:p>
        </w:tc>
        <w:tc>
          <w:tcPr>
            <w:tcW w:w="2835" w:type="dxa"/>
            <w:shd w:val="clear" w:color="auto" w:fill="auto"/>
            <w:noWrap/>
            <w:vAlign w:val="center"/>
            <w:hideMark/>
          </w:tcPr>
          <w:p w14:paraId="7A95C1D8" w14:textId="77118382" w:rsidR="006C0E52" w:rsidRPr="006C0E52" w:rsidRDefault="00F14E81" w:rsidP="00F14E81">
            <w:pPr>
              <w:jc w:val="left"/>
              <w:rPr>
                <w:i/>
                <w:color w:val="000000"/>
                <w:sz w:val="20"/>
                <w:szCs w:val="20"/>
                <w:lang w:val="es-CO" w:eastAsia="es-CO"/>
              </w:rPr>
            </w:pPr>
            <w:r>
              <w:rPr>
                <w:i/>
                <w:color w:val="000000"/>
                <w:sz w:val="20"/>
                <w:szCs w:val="20"/>
                <w:lang w:val="es-CO" w:eastAsia="es-CO"/>
              </w:rPr>
              <w:t xml:space="preserve">  </w:t>
            </w:r>
            <w:r w:rsidR="006C0E52" w:rsidRPr="006C0E52">
              <w:rPr>
                <w:i/>
                <w:color w:val="000000"/>
                <w:sz w:val="20"/>
                <w:szCs w:val="20"/>
                <w:lang w:val="es-CO" w:eastAsia="es-CO"/>
              </w:rPr>
              <w:t>Componente Gastos AOM</w:t>
            </w:r>
          </w:p>
        </w:tc>
        <w:tc>
          <w:tcPr>
            <w:tcW w:w="1471" w:type="dxa"/>
            <w:shd w:val="clear" w:color="auto" w:fill="auto"/>
            <w:noWrap/>
            <w:vAlign w:val="center"/>
            <w:hideMark/>
          </w:tcPr>
          <w:p w14:paraId="5E3A7DC4" w14:textId="2BF4D3E4" w:rsidR="006C0E52" w:rsidRPr="006C0E52" w:rsidRDefault="006C0E52" w:rsidP="00F14E81">
            <w:pPr>
              <w:jc w:val="right"/>
              <w:rPr>
                <w:i/>
                <w:color w:val="000000"/>
                <w:sz w:val="20"/>
                <w:szCs w:val="20"/>
                <w:lang w:val="es-CO" w:eastAsia="es-CO"/>
              </w:rPr>
            </w:pPr>
            <w:r w:rsidRPr="006C0E52">
              <w:rPr>
                <w:i/>
                <w:color w:val="000000"/>
                <w:sz w:val="20"/>
                <w:szCs w:val="20"/>
                <w:lang w:val="es-CO" w:eastAsia="es-CO"/>
              </w:rPr>
              <w:t>0</w:t>
            </w:r>
            <w:r w:rsidR="00F14E81" w:rsidRPr="00690AAF">
              <w:rPr>
                <w:i/>
                <w:color w:val="000000"/>
                <w:sz w:val="20"/>
                <w:szCs w:val="20"/>
                <w:lang w:val="es-CO" w:eastAsia="es-CO"/>
              </w:rPr>
              <w:t>,00</w:t>
            </w:r>
          </w:p>
        </w:tc>
        <w:tc>
          <w:tcPr>
            <w:tcW w:w="1471" w:type="dxa"/>
            <w:shd w:val="clear" w:color="auto" w:fill="auto"/>
            <w:noWrap/>
            <w:vAlign w:val="center"/>
            <w:hideMark/>
          </w:tcPr>
          <w:p w14:paraId="04F7C39D" w14:textId="788BAAD4" w:rsidR="006C0E52" w:rsidRPr="006C0E52" w:rsidRDefault="006C0E52" w:rsidP="00F14E81">
            <w:pPr>
              <w:jc w:val="right"/>
              <w:rPr>
                <w:i/>
                <w:color w:val="000000"/>
                <w:sz w:val="20"/>
                <w:szCs w:val="20"/>
                <w:lang w:val="es-CO" w:eastAsia="es-CO"/>
              </w:rPr>
            </w:pPr>
            <w:r w:rsidRPr="006C0E52">
              <w:rPr>
                <w:i/>
                <w:color w:val="000000"/>
                <w:sz w:val="20"/>
                <w:szCs w:val="20"/>
                <w:lang w:val="es-CO" w:eastAsia="es-CO"/>
              </w:rPr>
              <w:t>0</w:t>
            </w:r>
            <w:r w:rsidR="00F14E81" w:rsidRPr="00690AAF">
              <w:rPr>
                <w:i/>
                <w:color w:val="000000"/>
                <w:sz w:val="20"/>
                <w:szCs w:val="20"/>
                <w:lang w:val="es-CO" w:eastAsia="es-CO"/>
              </w:rPr>
              <w:t>,00</w:t>
            </w:r>
          </w:p>
        </w:tc>
        <w:tc>
          <w:tcPr>
            <w:tcW w:w="1472" w:type="dxa"/>
            <w:shd w:val="clear" w:color="auto" w:fill="auto"/>
            <w:noWrap/>
            <w:vAlign w:val="center"/>
            <w:hideMark/>
          </w:tcPr>
          <w:p w14:paraId="301817BB" w14:textId="54F3A778" w:rsidR="006C0E52" w:rsidRPr="006C0E52" w:rsidRDefault="006C0E52" w:rsidP="00F14E81">
            <w:pPr>
              <w:jc w:val="right"/>
              <w:rPr>
                <w:i/>
                <w:color w:val="000000"/>
                <w:sz w:val="20"/>
                <w:szCs w:val="20"/>
                <w:lang w:val="es-CO" w:eastAsia="es-CO"/>
              </w:rPr>
            </w:pPr>
            <w:r w:rsidRPr="006C0E52">
              <w:rPr>
                <w:i/>
                <w:color w:val="000000"/>
                <w:sz w:val="20"/>
                <w:szCs w:val="20"/>
                <w:lang w:val="es-CO" w:eastAsia="es-CO"/>
              </w:rPr>
              <w:t>0</w:t>
            </w:r>
            <w:r w:rsidR="00F14E81" w:rsidRPr="00690AAF">
              <w:rPr>
                <w:i/>
                <w:color w:val="000000"/>
                <w:sz w:val="20"/>
                <w:szCs w:val="20"/>
                <w:lang w:val="es-CO" w:eastAsia="es-CO"/>
              </w:rPr>
              <w:t>,00</w:t>
            </w:r>
          </w:p>
        </w:tc>
      </w:tr>
    </w:tbl>
    <w:p w14:paraId="12C16B70" w14:textId="1F1D9F45" w:rsidR="0081693F" w:rsidRPr="006C0E52" w:rsidRDefault="0081693F" w:rsidP="00194165">
      <w:pPr>
        <w:keepNext/>
        <w:adjustRightInd w:val="0"/>
        <w:spacing w:before="240" w:after="120"/>
        <w:ind w:right="23"/>
        <w:jc w:val="center"/>
        <w:rPr>
          <w:b/>
        </w:rPr>
      </w:pPr>
      <w:r>
        <w:rPr>
          <w:b/>
        </w:rPr>
        <w:t>Cuadro 3</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835"/>
        <w:gridCol w:w="1471"/>
        <w:gridCol w:w="1471"/>
        <w:gridCol w:w="1472"/>
      </w:tblGrid>
      <w:tr w:rsidR="0081693F" w:rsidRPr="00690AAF" w14:paraId="2F245668" w14:textId="77777777" w:rsidTr="00690AAF">
        <w:trPr>
          <w:trHeight w:val="300"/>
          <w:tblHeader/>
          <w:jc w:val="center"/>
        </w:trPr>
        <w:tc>
          <w:tcPr>
            <w:tcW w:w="8662" w:type="dxa"/>
            <w:gridSpan w:val="5"/>
            <w:shd w:val="clear" w:color="auto" w:fill="D9D9D9" w:themeFill="background1" w:themeFillShade="D9"/>
            <w:noWrap/>
            <w:vAlign w:val="bottom"/>
            <w:hideMark/>
          </w:tcPr>
          <w:p w14:paraId="21435519" w14:textId="37BC3854" w:rsidR="0081693F" w:rsidRPr="006C0E52" w:rsidRDefault="0081693F" w:rsidP="00FC3EF0">
            <w:pPr>
              <w:jc w:val="center"/>
              <w:rPr>
                <w:b/>
                <w:sz w:val="20"/>
                <w:szCs w:val="20"/>
                <w:lang w:val="es-CO" w:eastAsia="es-CO"/>
              </w:rPr>
            </w:pPr>
            <w:r w:rsidRPr="006C0E52">
              <w:rPr>
                <w:b/>
                <w:color w:val="000000"/>
                <w:sz w:val="20"/>
                <w:szCs w:val="20"/>
                <w:lang w:val="es-CO" w:eastAsia="es-CO"/>
              </w:rPr>
              <w:t xml:space="preserve">Usuarios </w:t>
            </w:r>
            <w:r w:rsidR="00F83AC0">
              <w:rPr>
                <w:b/>
                <w:color w:val="000000"/>
                <w:sz w:val="20"/>
                <w:szCs w:val="20"/>
                <w:lang w:val="es-CO" w:eastAsia="es-CO"/>
              </w:rPr>
              <w:t xml:space="preserve">diferentes a los </w:t>
            </w:r>
            <w:r w:rsidRPr="006C0E52">
              <w:rPr>
                <w:b/>
                <w:color w:val="000000"/>
                <w:sz w:val="20"/>
                <w:szCs w:val="20"/>
                <w:lang w:val="es-CO" w:eastAsia="es-CO"/>
              </w:rPr>
              <w:t>de uso residencial</w:t>
            </w:r>
          </w:p>
        </w:tc>
      </w:tr>
      <w:tr w:rsidR="00690AAF" w:rsidRPr="00690AAF" w14:paraId="6CA2E714" w14:textId="77777777" w:rsidTr="0075124B">
        <w:trPr>
          <w:trHeight w:val="300"/>
          <w:tblHeader/>
          <w:jc w:val="center"/>
        </w:trPr>
        <w:tc>
          <w:tcPr>
            <w:tcW w:w="1413" w:type="dxa"/>
            <w:vMerge w:val="restart"/>
            <w:shd w:val="clear" w:color="auto" w:fill="D9D9D9" w:themeFill="background1" w:themeFillShade="D9"/>
            <w:vAlign w:val="center"/>
            <w:hideMark/>
          </w:tcPr>
          <w:p w14:paraId="2013A1B5" w14:textId="77777777" w:rsidR="0081693F" w:rsidRPr="006C0E52" w:rsidRDefault="0081693F" w:rsidP="00690AAF">
            <w:pPr>
              <w:jc w:val="center"/>
              <w:rPr>
                <w:b/>
                <w:color w:val="000000"/>
                <w:sz w:val="20"/>
                <w:szCs w:val="20"/>
                <w:lang w:val="es-CO" w:eastAsia="es-CO"/>
              </w:rPr>
            </w:pPr>
            <w:r w:rsidRPr="006C0E52">
              <w:rPr>
                <w:b/>
                <w:color w:val="000000"/>
                <w:sz w:val="20"/>
                <w:szCs w:val="20"/>
                <w:lang w:val="es-CO" w:eastAsia="es-CO"/>
              </w:rPr>
              <w:t>Resolución</w:t>
            </w:r>
            <w:r w:rsidRPr="00690AAF">
              <w:rPr>
                <w:b/>
                <w:color w:val="000000"/>
                <w:sz w:val="20"/>
                <w:szCs w:val="20"/>
                <w:lang w:val="es-CO" w:eastAsia="es-CO"/>
              </w:rPr>
              <w:t xml:space="preserve"> </w:t>
            </w:r>
            <w:r w:rsidRPr="006C0E52">
              <w:rPr>
                <w:b/>
                <w:color w:val="000000"/>
                <w:sz w:val="20"/>
                <w:szCs w:val="20"/>
                <w:lang w:val="es-CO" w:eastAsia="es-CO"/>
              </w:rPr>
              <w:t>CREG 198 de 2017</w:t>
            </w:r>
          </w:p>
        </w:tc>
        <w:tc>
          <w:tcPr>
            <w:tcW w:w="2835" w:type="dxa"/>
            <w:shd w:val="clear" w:color="auto" w:fill="D9D9D9" w:themeFill="background1" w:themeFillShade="D9"/>
            <w:noWrap/>
            <w:vAlign w:val="center"/>
            <w:hideMark/>
          </w:tcPr>
          <w:p w14:paraId="2C2F72FF" w14:textId="77777777" w:rsidR="0081693F" w:rsidRPr="006C0E52" w:rsidRDefault="0081693F" w:rsidP="00690AAF">
            <w:pPr>
              <w:jc w:val="center"/>
              <w:rPr>
                <w:b/>
                <w:color w:val="000000"/>
                <w:sz w:val="20"/>
                <w:szCs w:val="20"/>
                <w:lang w:val="es-CO" w:eastAsia="es-CO"/>
              </w:rPr>
            </w:pPr>
            <w:r w:rsidRPr="006C0E52">
              <w:rPr>
                <w:b/>
                <w:color w:val="000000"/>
                <w:sz w:val="20"/>
                <w:szCs w:val="20"/>
                <w:lang w:val="es-CO" w:eastAsia="es-CO"/>
              </w:rPr>
              <w:t>$/m³</w:t>
            </w:r>
          </w:p>
        </w:tc>
        <w:tc>
          <w:tcPr>
            <w:tcW w:w="1471" w:type="dxa"/>
            <w:shd w:val="clear" w:color="auto" w:fill="D9D9D9" w:themeFill="background1" w:themeFillShade="D9"/>
            <w:noWrap/>
            <w:vAlign w:val="center"/>
            <w:hideMark/>
          </w:tcPr>
          <w:p w14:paraId="335B7D19" w14:textId="77777777" w:rsidR="0081693F" w:rsidRPr="006C0E52" w:rsidRDefault="0081693F" w:rsidP="00690AAF">
            <w:pPr>
              <w:jc w:val="center"/>
              <w:rPr>
                <w:b/>
                <w:color w:val="000000"/>
                <w:sz w:val="20"/>
                <w:szCs w:val="20"/>
                <w:lang w:val="es-CO" w:eastAsia="es-CO"/>
              </w:rPr>
            </w:pPr>
            <w:r w:rsidRPr="006C0E52">
              <w:rPr>
                <w:b/>
                <w:color w:val="000000"/>
                <w:sz w:val="20"/>
                <w:szCs w:val="20"/>
                <w:lang w:val="es-CO" w:eastAsia="es-CO"/>
              </w:rPr>
              <w:t>2017</w:t>
            </w:r>
          </w:p>
        </w:tc>
        <w:tc>
          <w:tcPr>
            <w:tcW w:w="1471" w:type="dxa"/>
            <w:shd w:val="clear" w:color="auto" w:fill="D9D9D9" w:themeFill="background1" w:themeFillShade="D9"/>
            <w:noWrap/>
            <w:vAlign w:val="center"/>
            <w:hideMark/>
          </w:tcPr>
          <w:p w14:paraId="57DB0777" w14:textId="77777777" w:rsidR="0081693F" w:rsidRPr="006C0E52" w:rsidRDefault="0081693F" w:rsidP="00690AAF">
            <w:pPr>
              <w:jc w:val="center"/>
              <w:rPr>
                <w:b/>
                <w:color w:val="000000"/>
                <w:sz w:val="20"/>
                <w:szCs w:val="20"/>
                <w:lang w:val="es-CO" w:eastAsia="es-CO"/>
              </w:rPr>
            </w:pPr>
            <w:r w:rsidRPr="006C0E52">
              <w:rPr>
                <w:b/>
                <w:color w:val="000000"/>
                <w:sz w:val="20"/>
                <w:szCs w:val="20"/>
                <w:lang w:val="es-CO" w:eastAsia="es-CO"/>
              </w:rPr>
              <w:t>2018</w:t>
            </w:r>
          </w:p>
        </w:tc>
        <w:tc>
          <w:tcPr>
            <w:tcW w:w="1472" w:type="dxa"/>
            <w:shd w:val="clear" w:color="auto" w:fill="D9D9D9" w:themeFill="background1" w:themeFillShade="D9"/>
            <w:noWrap/>
            <w:vAlign w:val="center"/>
            <w:hideMark/>
          </w:tcPr>
          <w:p w14:paraId="08BA42D7" w14:textId="77777777" w:rsidR="0081693F" w:rsidRPr="006C0E52" w:rsidRDefault="0081693F" w:rsidP="00690AAF">
            <w:pPr>
              <w:jc w:val="center"/>
              <w:rPr>
                <w:b/>
                <w:color w:val="000000"/>
                <w:sz w:val="20"/>
                <w:szCs w:val="20"/>
                <w:lang w:val="es-CO" w:eastAsia="es-CO"/>
              </w:rPr>
            </w:pPr>
            <w:r w:rsidRPr="006C0E52">
              <w:rPr>
                <w:b/>
                <w:color w:val="000000"/>
                <w:sz w:val="20"/>
                <w:szCs w:val="20"/>
                <w:lang w:val="es-CO" w:eastAsia="es-CO"/>
              </w:rPr>
              <w:t>2019 - 2021</w:t>
            </w:r>
          </w:p>
        </w:tc>
      </w:tr>
      <w:tr w:rsidR="0081693F" w:rsidRPr="00690AAF" w14:paraId="4F8E359F" w14:textId="77777777" w:rsidTr="0075124B">
        <w:trPr>
          <w:trHeight w:val="300"/>
          <w:tblHeader/>
          <w:jc w:val="center"/>
        </w:trPr>
        <w:tc>
          <w:tcPr>
            <w:tcW w:w="1413" w:type="dxa"/>
            <w:vMerge/>
            <w:vAlign w:val="center"/>
            <w:hideMark/>
          </w:tcPr>
          <w:p w14:paraId="4087D437" w14:textId="77777777" w:rsidR="0081693F" w:rsidRPr="006C0E52" w:rsidRDefault="0081693F" w:rsidP="00690AAF">
            <w:pPr>
              <w:jc w:val="left"/>
              <w:rPr>
                <w:b/>
                <w:color w:val="000000"/>
                <w:sz w:val="20"/>
                <w:szCs w:val="20"/>
                <w:lang w:val="es-CO" w:eastAsia="es-CO"/>
              </w:rPr>
            </w:pPr>
          </w:p>
        </w:tc>
        <w:tc>
          <w:tcPr>
            <w:tcW w:w="2835" w:type="dxa"/>
            <w:shd w:val="clear" w:color="auto" w:fill="auto"/>
            <w:noWrap/>
            <w:vAlign w:val="center"/>
            <w:hideMark/>
          </w:tcPr>
          <w:p w14:paraId="35E515D3" w14:textId="77777777" w:rsidR="0081693F" w:rsidRPr="006C0E52" w:rsidRDefault="0081693F" w:rsidP="00690AAF">
            <w:pPr>
              <w:jc w:val="left"/>
              <w:rPr>
                <w:color w:val="000000"/>
                <w:sz w:val="20"/>
                <w:szCs w:val="20"/>
                <w:lang w:val="es-CO" w:eastAsia="es-CO"/>
              </w:rPr>
            </w:pPr>
            <w:r w:rsidRPr="006C0E52">
              <w:rPr>
                <w:color w:val="000000"/>
                <w:sz w:val="20"/>
                <w:szCs w:val="20"/>
                <w:lang w:val="es-CO" w:eastAsia="es-CO"/>
              </w:rPr>
              <w:t>Cargo de distribución</w:t>
            </w:r>
          </w:p>
        </w:tc>
        <w:tc>
          <w:tcPr>
            <w:tcW w:w="1471" w:type="dxa"/>
            <w:shd w:val="clear" w:color="auto" w:fill="auto"/>
            <w:noWrap/>
            <w:vAlign w:val="center"/>
          </w:tcPr>
          <w:p w14:paraId="3083234F" w14:textId="0EE3F521" w:rsidR="0081693F" w:rsidRPr="006C0E52" w:rsidRDefault="00690AAF" w:rsidP="00690AAF">
            <w:pPr>
              <w:jc w:val="right"/>
              <w:rPr>
                <w:color w:val="000000"/>
                <w:sz w:val="20"/>
                <w:szCs w:val="20"/>
                <w:lang w:val="es-CO" w:eastAsia="es-CO"/>
              </w:rPr>
            </w:pPr>
            <w:r w:rsidRPr="00690AAF">
              <w:rPr>
                <w:color w:val="000000"/>
                <w:sz w:val="20"/>
                <w:szCs w:val="20"/>
                <w:lang w:val="es-CO" w:eastAsia="es-CO"/>
              </w:rPr>
              <w:t>150,02</w:t>
            </w:r>
          </w:p>
        </w:tc>
        <w:tc>
          <w:tcPr>
            <w:tcW w:w="1471" w:type="dxa"/>
            <w:shd w:val="clear" w:color="auto" w:fill="auto"/>
            <w:noWrap/>
            <w:vAlign w:val="center"/>
          </w:tcPr>
          <w:p w14:paraId="31EE5781" w14:textId="7BA58061" w:rsidR="0081693F" w:rsidRPr="006C0E52" w:rsidRDefault="00690AAF" w:rsidP="00690AAF">
            <w:pPr>
              <w:jc w:val="right"/>
              <w:rPr>
                <w:color w:val="000000"/>
                <w:sz w:val="20"/>
                <w:szCs w:val="20"/>
                <w:lang w:val="es-CO" w:eastAsia="es-CO"/>
              </w:rPr>
            </w:pPr>
            <w:r w:rsidRPr="00690AAF">
              <w:rPr>
                <w:color w:val="000000"/>
                <w:sz w:val="20"/>
                <w:szCs w:val="20"/>
                <w:lang w:val="es-CO" w:eastAsia="es-CO"/>
              </w:rPr>
              <w:t>151,34</w:t>
            </w:r>
          </w:p>
        </w:tc>
        <w:tc>
          <w:tcPr>
            <w:tcW w:w="1472" w:type="dxa"/>
            <w:shd w:val="clear" w:color="auto" w:fill="auto"/>
            <w:noWrap/>
            <w:vAlign w:val="center"/>
          </w:tcPr>
          <w:p w14:paraId="1F9FC67C" w14:textId="57EEDD1F" w:rsidR="0081693F" w:rsidRPr="006C0E52" w:rsidRDefault="00690AAF" w:rsidP="00690AAF">
            <w:pPr>
              <w:jc w:val="right"/>
              <w:rPr>
                <w:color w:val="000000"/>
                <w:sz w:val="20"/>
                <w:szCs w:val="20"/>
                <w:lang w:val="es-CO" w:eastAsia="es-CO"/>
              </w:rPr>
            </w:pPr>
            <w:r w:rsidRPr="00690AAF">
              <w:rPr>
                <w:color w:val="000000"/>
                <w:sz w:val="20"/>
                <w:szCs w:val="20"/>
                <w:lang w:val="es-CO" w:eastAsia="es-CO"/>
              </w:rPr>
              <w:t>142,50</w:t>
            </w:r>
          </w:p>
        </w:tc>
      </w:tr>
      <w:tr w:rsidR="0081693F" w:rsidRPr="00690AAF" w14:paraId="53A8397A" w14:textId="77777777" w:rsidTr="0075124B">
        <w:trPr>
          <w:trHeight w:val="300"/>
          <w:tblHeader/>
          <w:jc w:val="center"/>
        </w:trPr>
        <w:tc>
          <w:tcPr>
            <w:tcW w:w="1413" w:type="dxa"/>
            <w:vMerge/>
            <w:vAlign w:val="center"/>
            <w:hideMark/>
          </w:tcPr>
          <w:p w14:paraId="1DAC05E8" w14:textId="77777777" w:rsidR="0081693F" w:rsidRPr="006C0E52" w:rsidRDefault="0081693F" w:rsidP="00690AAF">
            <w:pPr>
              <w:jc w:val="left"/>
              <w:rPr>
                <w:b/>
                <w:color w:val="000000"/>
                <w:sz w:val="20"/>
                <w:szCs w:val="20"/>
                <w:lang w:val="es-CO" w:eastAsia="es-CO"/>
              </w:rPr>
            </w:pPr>
          </w:p>
        </w:tc>
        <w:tc>
          <w:tcPr>
            <w:tcW w:w="2835" w:type="dxa"/>
            <w:shd w:val="clear" w:color="auto" w:fill="auto"/>
            <w:noWrap/>
            <w:vAlign w:val="center"/>
            <w:hideMark/>
          </w:tcPr>
          <w:p w14:paraId="6B6B5365" w14:textId="77777777" w:rsidR="0081693F" w:rsidRPr="006C0E52" w:rsidRDefault="0081693F" w:rsidP="00690AAF">
            <w:pPr>
              <w:jc w:val="left"/>
              <w:rPr>
                <w:i/>
                <w:color w:val="000000"/>
                <w:sz w:val="20"/>
                <w:szCs w:val="20"/>
                <w:lang w:val="es-CO" w:eastAsia="es-CO"/>
              </w:rPr>
            </w:pPr>
            <w:r w:rsidRPr="00690AAF">
              <w:rPr>
                <w:i/>
                <w:color w:val="000000"/>
                <w:sz w:val="20"/>
                <w:szCs w:val="20"/>
                <w:lang w:val="es-CO" w:eastAsia="es-CO"/>
              </w:rPr>
              <w:t xml:space="preserve">  </w:t>
            </w:r>
            <w:r w:rsidRPr="006C0E52">
              <w:rPr>
                <w:i/>
                <w:color w:val="000000"/>
                <w:sz w:val="20"/>
                <w:szCs w:val="20"/>
                <w:lang w:val="es-CO" w:eastAsia="es-CO"/>
              </w:rPr>
              <w:t>Componente de inversión</w:t>
            </w:r>
          </w:p>
        </w:tc>
        <w:tc>
          <w:tcPr>
            <w:tcW w:w="1471" w:type="dxa"/>
            <w:shd w:val="clear" w:color="auto" w:fill="auto"/>
            <w:noWrap/>
            <w:vAlign w:val="center"/>
          </w:tcPr>
          <w:p w14:paraId="0F6B39CA" w14:textId="07A6457B" w:rsidR="0081693F" w:rsidRPr="006C0E52" w:rsidRDefault="00690AAF" w:rsidP="00690AAF">
            <w:pPr>
              <w:jc w:val="right"/>
              <w:rPr>
                <w:i/>
                <w:color w:val="000000"/>
                <w:sz w:val="20"/>
                <w:szCs w:val="20"/>
                <w:lang w:val="es-CO" w:eastAsia="es-CO"/>
              </w:rPr>
            </w:pPr>
            <w:r w:rsidRPr="00690AAF">
              <w:rPr>
                <w:i/>
                <w:color w:val="000000"/>
                <w:sz w:val="20"/>
                <w:szCs w:val="20"/>
                <w:lang w:val="es-CO" w:eastAsia="es-CO"/>
              </w:rPr>
              <w:t>87,99</w:t>
            </w:r>
          </w:p>
        </w:tc>
        <w:tc>
          <w:tcPr>
            <w:tcW w:w="1471" w:type="dxa"/>
            <w:shd w:val="clear" w:color="auto" w:fill="auto"/>
            <w:noWrap/>
            <w:vAlign w:val="center"/>
          </w:tcPr>
          <w:p w14:paraId="1F94A3AC" w14:textId="7425B547" w:rsidR="0081693F" w:rsidRPr="006C0E52" w:rsidRDefault="00690AAF" w:rsidP="00690AAF">
            <w:pPr>
              <w:jc w:val="right"/>
              <w:rPr>
                <w:i/>
                <w:color w:val="000000"/>
                <w:sz w:val="20"/>
                <w:szCs w:val="20"/>
                <w:lang w:val="es-CO" w:eastAsia="es-CO"/>
              </w:rPr>
            </w:pPr>
            <w:r w:rsidRPr="00690AAF">
              <w:rPr>
                <w:i/>
                <w:color w:val="000000"/>
                <w:sz w:val="20"/>
                <w:szCs w:val="20"/>
                <w:lang w:val="es-CO" w:eastAsia="es-CO"/>
              </w:rPr>
              <w:t>89,31</w:t>
            </w:r>
          </w:p>
        </w:tc>
        <w:tc>
          <w:tcPr>
            <w:tcW w:w="1472" w:type="dxa"/>
            <w:shd w:val="clear" w:color="auto" w:fill="auto"/>
            <w:noWrap/>
            <w:vAlign w:val="center"/>
          </w:tcPr>
          <w:p w14:paraId="2457B42F" w14:textId="1AA5F8C0" w:rsidR="0081693F" w:rsidRPr="006C0E52" w:rsidRDefault="00690AAF" w:rsidP="00690AAF">
            <w:pPr>
              <w:jc w:val="right"/>
              <w:rPr>
                <w:i/>
                <w:color w:val="000000"/>
                <w:sz w:val="20"/>
                <w:szCs w:val="20"/>
                <w:lang w:val="es-CO" w:eastAsia="es-CO"/>
              </w:rPr>
            </w:pPr>
            <w:r w:rsidRPr="00690AAF">
              <w:rPr>
                <w:i/>
                <w:color w:val="000000"/>
                <w:sz w:val="20"/>
                <w:szCs w:val="20"/>
                <w:lang w:val="es-CO" w:eastAsia="es-CO"/>
              </w:rPr>
              <w:t>80,47</w:t>
            </w:r>
          </w:p>
        </w:tc>
      </w:tr>
      <w:tr w:rsidR="0081693F" w:rsidRPr="00690AAF" w14:paraId="52F2615F" w14:textId="77777777" w:rsidTr="0075124B">
        <w:trPr>
          <w:trHeight w:val="300"/>
          <w:tblHeader/>
          <w:jc w:val="center"/>
        </w:trPr>
        <w:tc>
          <w:tcPr>
            <w:tcW w:w="1413" w:type="dxa"/>
            <w:vMerge/>
            <w:vAlign w:val="center"/>
            <w:hideMark/>
          </w:tcPr>
          <w:p w14:paraId="77B1E551" w14:textId="77777777" w:rsidR="0081693F" w:rsidRPr="006C0E52" w:rsidRDefault="0081693F" w:rsidP="00690AAF">
            <w:pPr>
              <w:jc w:val="left"/>
              <w:rPr>
                <w:b/>
                <w:color w:val="000000"/>
                <w:sz w:val="20"/>
                <w:szCs w:val="20"/>
                <w:lang w:val="es-CO" w:eastAsia="es-CO"/>
              </w:rPr>
            </w:pPr>
          </w:p>
        </w:tc>
        <w:tc>
          <w:tcPr>
            <w:tcW w:w="2835" w:type="dxa"/>
            <w:shd w:val="clear" w:color="auto" w:fill="auto"/>
            <w:noWrap/>
            <w:vAlign w:val="center"/>
            <w:hideMark/>
          </w:tcPr>
          <w:p w14:paraId="7EB7591F" w14:textId="77777777" w:rsidR="0081693F" w:rsidRPr="006C0E52" w:rsidRDefault="0081693F" w:rsidP="00690AAF">
            <w:pPr>
              <w:jc w:val="left"/>
              <w:rPr>
                <w:i/>
                <w:color w:val="000000"/>
                <w:sz w:val="20"/>
                <w:szCs w:val="20"/>
                <w:lang w:val="es-CO" w:eastAsia="es-CO"/>
              </w:rPr>
            </w:pPr>
            <w:r w:rsidRPr="00690AAF">
              <w:rPr>
                <w:i/>
                <w:color w:val="000000"/>
                <w:sz w:val="20"/>
                <w:szCs w:val="20"/>
                <w:lang w:val="es-CO" w:eastAsia="es-CO"/>
              </w:rPr>
              <w:t xml:space="preserve">  </w:t>
            </w:r>
            <w:r w:rsidRPr="006C0E52">
              <w:rPr>
                <w:i/>
                <w:color w:val="000000"/>
                <w:sz w:val="20"/>
                <w:szCs w:val="20"/>
                <w:lang w:val="es-CO" w:eastAsia="es-CO"/>
              </w:rPr>
              <w:t>Componente Gastos AOM</w:t>
            </w:r>
          </w:p>
        </w:tc>
        <w:tc>
          <w:tcPr>
            <w:tcW w:w="1471" w:type="dxa"/>
            <w:shd w:val="clear" w:color="auto" w:fill="auto"/>
            <w:noWrap/>
            <w:vAlign w:val="center"/>
          </w:tcPr>
          <w:p w14:paraId="5AE2EE79" w14:textId="2567B0E1" w:rsidR="0081693F" w:rsidRPr="006C0E52" w:rsidRDefault="00690AAF" w:rsidP="00690AAF">
            <w:pPr>
              <w:jc w:val="right"/>
              <w:rPr>
                <w:i/>
                <w:color w:val="000000"/>
                <w:sz w:val="20"/>
                <w:szCs w:val="20"/>
                <w:lang w:val="es-CO" w:eastAsia="es-CO"/>
              </w:rPr>
            </w:pPr>
            <w:r w:rsidRPr="00690AAF">
              <w:rPr>
                <w:i/>
                <w:color w:val="000000"/>
                <w:sz w:val="20"/>
                <w:szCs w:val="20"/>
                <w:lang w:val="es-CO" w:eastAsia="es-CO"/>
              </w:rPr>
              <w:t>62,03</w:t>
            </w:r>
          </w:p>
        </w:tc>
        <w:tc>
          <w:tcPr>
            <w:tcW w:w="1471" w:type="dxa"/>
            <w:shd w:val="clear" w:color="auto" w:fill="auto"/>
            <w:noWrap/>
            <w:vAlign w:val="center"/>
          </w:tcPr>
          <w:p w14:paraId="4EE38DAB" w14:textId="2BD1D2C1" w:rsidR="0081693F" w:rsidRPr="006C0E52" w:rsidRDefault="00690AAF" w:rsidP="00690AAF">
            <w:pPr>
              <w:jc w:val="right"/>
              <w:rPr>
                <w:i/>
                <w:color w:val="000000"/>
                <w:sz w:val="20"/>
                <w:szCs w:val="20"/>
                <w:lang w:val="es-CO" w:eastAsia="es-CO"/>
              </w:rPr>
            </w:pPr>
            <w:r w:rsidRPr="00690AAF">
              <w:rPr>
                <w:i/>
                <w:color w:val="000000"/>
                <w:sz w:val="20"/>
                <w:szCs w:val="20"/>
                <w:lang w:val="es-CO" w:eastAsia="es-CO"/>
              </w:rPr>
              <w:t>62,03</w:t>
            </w:r>
          </w:p>
        </w:tc>
        <w:tc>
          <w:tcPr>
            <w:tcW w:w="1472" w:type="dxa"/>
            <w:shd w:val="clear" w:color="auto" w:fill="auto"/>
            <w:noWrap/>
            <w:vAlign w:val="center"/>
          </w:tcPr>
          <w:p w14:paraId="0ABEC0AD" w14:textId="0BDAF36A" w:rsidR="0081693F" w:rsidRPr="006C0E52" w:rsidRDefault="00690AAF" w:rsidP="00690AAF">
            <w:pPr>
              <w:jc w:val="right"/>
              <w:rPr>
                <w:i/>
                <w:color w:val="000000"/>
                <w:sz w:val="20"/>
                <w:szCs w:val="20"/>
                <w:lang w:val="es-CO" w:eastAsia="es-CO"/>
              </w:rPr>
            </w:pPr>
            <w:r w:rsidRPr="00690AAF">
              <w:rPr>
                <w:i/>
                <w:color w:val="000000"/>
                <w:sz w:val="20"/>
                <w:szCs w:val="20"/>
                <w:lang w:val="es-CO" w:eastAsia="es-CO"/>
              </w:rPr>
              <w:t>62,03</w:t>
            </w:r>
          </w:p>
        </w:tc>
      </w:tr>
      <w:tr w:rsidR="00690AAF" w:rsidRPr="00690AAF" w14:paraId="7A90364B" w14:textId="77777777" w:rsidTr="0075124B">
        <w:trPr>
          <w:trHeight w:val="300"/>
          <w:jc w:val="center"/>
        </w:trPr>
        <w:tc>
          <w:tcPr>
            <w:tcW w:w="1413" w:type="dxa"/>
            <w:vMerge w:val="restart"/>
            <w:shd w:val="clear" w:color="auto" w:fill="D9D9D9" w:themeFill="background1" w:themeFillShade="D9"/>
            <w:vAlign w:val="center"/>
            <w:hideMark/>
          </w:tcPr>
          <w:p w14:paraId="378E6004" w14:textId="77777777" w:rsidR="0081693F" w:rsidRPr="006C0E52" w:rsidRDefault="0081693F" w:rsidP="00690AAF">
            <w:pPr>
              <w:jc w:val="center"/>
              <w:rPr>
                <w:b/>
                <w:color w:val="000000"/>
                <w:sz w:val="20"/>
                <w:szCs w:val="20"/>
                <w:lang w:val="es-CO" w:eastAsia="es-CO"/>
              </w:rPr>
            </w:pPr>
            <w:r w:rsidRPr="006C0E52">
              <w:rPr>
                <w:b/>
                <w:color w:val="000000"/>
                <w:sz w:val="20"/>
                <w:szCs w:val="20"/>
                <w:lang w:val="es-CO" w:eastAsia="es-CO"/>
              </w:rPr>
              <w:t>Corregidos</w:t>
            </w:r>
          </w:p>
        </w:tc>
        <w:tc>
          <w:tcPr>
            <w:tcW w:w="2835" w:type="dxa"/>
            <w:shd w:val="clear" w:color="auto" w:fill="D9D9D9" w:themeFill="background1" w:themeFillShade="D9"/>
            <w:noWrap/>
            <w:vAlign w:val="center"/>
            <w:hideMark/>
          </w:tcPr>
          <w:p w14:paraId="6C063F82" w14:textId="77777777" w:rsidR="0081693F" w:rsidRPr="006C0E52" w:rsidRDefault="0081693F" w:rsidP="00690AAF">
            <w:pPr>
              <w:jc w:val="center"/>
              <w:rPr>
                <w:b/>
                <w:color w:val="000000"/>
                <w:sz w:val="20"/>
                <w:szCs w:val="20"/>
                <w:lang w:val="es-CO" w:eastAsia="es-CO"/>
              </w:rPr>
            </w:pPr>
            <w:r w:rsidRPr="006C0E52">
              <w:rPr>
                <w:b/>
                <w:color w:val="000000"/>
                <w:sz w:val="20"/>
                <w:szCs w:val="20"/>
                <w:lang w:val="es-CO" w:eastAsia="es-CO"/>
              </w:rPr>
              <w:t>$/m³</w:t>
            </w:r>
          </w:p>
        </w:tc>
        <w:tc>
          <w:tcPr>
            <w:tcW w:w="1471" w:type="dxa"/>
            <w:shd w:val="clear" w:color="auto" w:fill="D9D9D9" w:themeFill="background1" w:themeFillShade="D9"/>
            <w:noWrap/>
            <w:vAlign w:val="center"/>
            <w:hideMark/>
          </w:tcPr>
          <w:p w14:paraId="46BF580F" w14:textId="77777777" w:rsidR="0081693F" w:rsidRPr="006C0E52" w:rsidRDefault="0081693F" w:rsidP="00690AAF">
            <w:pPr>
              <w:jc w:val="center"/>
              <w:rPr>
                <w:b/>
                <w:color w:val="000000"/>
                <w:sz w:val="20"/>
                <w:szCs w:val="20"/>
                <w:lang w:val="es-CO" w:eastAsia="es-CO"/>
              </w:rPr>
            </w:pPr>
            <w:r w:rsidRPr="006C0E52">
              <w:rPr>
                <w:b/>
                <w:color w:val="000000"/>
                <w:sz w:val="20"/>
                <w:szCs w:val="20"/>
                <w:lang w:val="es-CO" w:eastAsia="es-CO"/>
              </w:rPr>
              <w:t>2017</w:t>
            </w:r>
          </w:p>
        </w:tc>
        <w:tc>
          <w:tcPr>
            <w:tcW w:w="1471" w:type="dxa"/>
            <w:shd w:val="clear" w:color="auto" w:fill="D9D9D9" w:themeFill="background1" w:themeFillShade="D9"/>
            <w:noWrap/>
            <w:vAlign w:val="center"/>
            <w:hideMark/>
          </w:tcPr>
          <w:p w14:paraId="35A21EC7" w14:textId="77777777" w:rsidR="0081693F" w:rsidRPr="006C0E52" w:rsidRDefault="0081693F" w:rsidP="00690AAF">
            <w:pPr>
              <w:jc w:val="center"/>
              <w:rPr>
                <w:b/>
                <w:color w:val="000000"/>
                <w:sz w:val="20"/>
                <w:szCs w:val="20"/>
                <w:lang w:val="es-CO" w:eastAsia="es-CO"/>
              </w:rPr>
            </w:pPr>
            <w:r w:rsidRPr="006C0E52">
              <w:rPr>
                <w:b/>
                <w:color w:val="000000"/>
                <w:sz w:val="20"/>
                <w:szCs w:val="20"/>
                <w:lang w:val="es-CO" w:eastAsia="es-CO"/>
              </w:rPr>
              <w:t>2018</w:t>
            </w:r>
          </w:p>
        </w:tc>
        <w:tc>
          <w:tcPr>
            <w:tcW w:w="1472" w:type="dxa"/>
            <w:shd w:val="clear" w:color="auto" w:fill="D9D9D9" w:themeFill="background1" w:themeFillShade="D9"/>
            <w:noWrap/>
            <w:vAlign w:val="center"/>
            <w:hideMark/>
          </w:tcPr>
          <w:p w14:paraId="27837E47" w14:textId="23A5E095" w:rsidR="0081693F" w:rsidRPr="006C0E52" w:rsidRDefault="0081693F" w:rsidP="00690AAF">
            <w:pPr>
              <w:jc w:val="center"/>
              <w:rPr>
                <w:b/>
                <w:color w:val="000000"/>
                <w:sz w:val="20"/>
                <w:szCs w:val="20"/>
                <w:lang w:val="es-CO" w:eastAsia="es-CO"/>
              </w:rPr>
            </w:pPr>
            <w:r w:rsidRPr="006C0E52">
              <w:rPr>
                <w:b/>
                <w:color w:val="000000"/>
                <w:sz w:val="20"/>
                <w:szCs w:val="20"/>
                <w:lang w:val="es-CO" w:eastAsia="es-CO"/>
              </w:rPr>
              <w:t xml:space="preserve">2019 </w:t>
            </w:r>
            <w:r w:rsidR="00690AAF" w:rsidRPr="00690AAF">
              <w:rPr>
                <w:b/>
                <w:color w:val="000000"/>
                <w:sz w:val="20"/>
                <w:szCs w:val="20"/>
                <w:lang w:val="es-CO" w:eastAsia="es-CO"/>
              </w:rPr>
              <w:t>–</w:t>
            </w:r>
            <w:r w:rsidRPr="006C0E52">
              <w:rPr>
                <w:b/>
                <w:color w:val="000000"/>
                <w:sz w:val="20"/>
                <w:szCs w:val="20"/>
                <w:lang w:val="es-CO" w:eastAsia="es-CO"/>
              </w:rPr>
              <w:t xml:space="preserve"> 2021</w:t>
            </w:r>
          </w:p>
        </w:tc>
      </w:tr>
      <w:tr w:rsidR="0081693F" w:rsidRPr="00690AAF" w14:paraId="019C8773" w14:textId="77777777" w:rsidTr="0075124B">
        <w:trPr>
          <w:trHeight w:val="300"/>
          <w:jc w:val="center"/>
        </w:trPr>
        <w:tc>
          <w:tcPr>
            <w:tcW w:w="1413" w:type="dxa"/>
            <w:vMerge/>
            <w:shd w:val="clear" w:color="auto" w:fill="D9D9D9" w:themeFill="background1" w:themeFillShade="D9"/>
            <w:vAlign w:val="center"/>
            <w:hideMark/>
          </w:tcPr>
          <w:p w14:paraId="097FC68C" w14:textId="77777777" w:rsidR="0081693F" w:rsidRPr="006C0E52" w:rsidRDefault="0081693F" w:rsidP="00690AAF">
            <w:pPr>
              <w:jc w:val="left"/>
              <w:rPr>
                <w:b/>
                <w:color w:val="000000"/>
                <w:sz w:val="20"/>
                <w:szCs w:val="20"/>
                <w:lang w:val="es-CO" w:eastAsia="es-CO"/>
              </w:rPr>
            </w:pPr>
          </w:p>
        </w:tc>
        <w:tc>
          <w:tcPr>
            <w:tcW w:w="2835" w:type="dxa"/>
            <w:shd w:val="clear" w:color="auto" w:fill="auto"/>
            <w:noWrap/>
            <w:vAlign w:val="center"/>
            <w:hideMark/>
          </w:tcPr>
          <w:p w14:paraId="05F0A089" w14:textId="77777777" w:rsidR="0081693F" w:rsidRPr="006C0E52" w:rsidRDefault="0081693F" w:rsidP="00690AAF">
            <w:pPr>
              <w:jc w:val="left"/>
              <w:rPr>
                <w:color w:val="000000"/>
                <w:sz w:val="20"/>
                <w:szCs w:val="20"/>
                <w:lang w:val="es-CO" w:eastAsia="es-CO"/>
              </w:rPr>
            </w:pPr>
            <w:r w:rsidRPr="006C0E52">
              <w:rPr>
                <w:color w:val="000000"/>
                <w:sz w:val="20"/>
                <w:szCs w:val="20"/>
                <w:lang w:val="es-CO" w:eastAsia="es-CO"/>
              </w:rPr>
              <w:t>Cargo de distribución</w:t>
            </w:r>
          </w:p>
        </w:tc>
        <w:tc>
          <w:tcPr>
            <w:tcW w:w="1471" w:type="dxa"/>
            <w:shd w:val="clear" w:color="auto" w:fill="auto"/>
            <w:noWrap/>
            <w:vAlign w:val="center"/>
          </w:tcPr>
          <w:p w14:paraId="7B4B59AB" w14:textId="79548A0E" w:rsidR="0081693F" w:rsidRPr="006C0E52" w:rsidRDefault="00690AAF" w:rsidP="00690AAF">
            <w:pPr>
              <w:jc w:val="right"/>
              <w:rPr>
                <w:color w:val="000000"/>
                <w:sz w:val="20"/>
                <w:szCs w:val="20"/>
                <w:lang w:val="es-CO" w:eastAsia="es-CO"/>
              </w:rPr>
            </w:pPr>
            <w:r w:rsidRPr="00690AAF">
              <w:rPr>
                <w:color w:val="000000"/>
                <w:sz w:val="20"/>
                <w:szCs w:val="20"/>
                <w:lang w:val="es-CO" w:eastAsia="es-CO"/>
              </w:rPr>
              <w:t>157,80</w:t>
            </w:r>
          </w:p>
        </w:tc>
        <w:tc>
          <w:tcPr>
            <w:tcW w:w="1471" w:type="dxa"/>
            <w:shd w:val="clear" w:color="auto" w:fill="auto"/>
            <w:noWrap/>
            <w:vAlign w:val="center"/>
          </w:tcPr>
          <w:p w14:paraId="14BBF447" w14:textId="4FC296D5" w:rsidR="0081693F" w:rsidRPr="006C0E52" w:rsidRDefault="00690AAF" w:rsidP="00690AAF">
            <w:pPr>
              <w:jc w:val="right"/>
              <w:rPr>
                <w:color w:val="000000"/>
                <w:sz w:val="20"/>
                <w:szCs w:val="20"/>
                <w:lang w:val="es-CO" w:eastAsia="es-CO"/>
              </w:rPr>
            </w:pPr>
            <w:r w:rsidRPr="00690AAF">
              <w:rPr>
                <w:color w:val="000000"/>
                <w:sz w:val="20"/>
                <w:szCs w:val="20"/>
                <w:lang w:val="es-CO" w:eastAsia="es-CO"/>
              </w:rPr>
              <w:t>159,24</w:t>
            </w:r>
          </w:p>
        </w:tc>
        <w:tc>
          <w:tcPr>
            <w:tcW w:w="1472" w:type="dxa"/>
            <w:shd w:val="clear" w:color="auto" w:fill="auto"/>
            <w:noWrap/>
            <w:vAlign w:val="center"/>
          </w:tcPr>
          <w:p w14:paraId="099704B7" w14:textId="3A379086" w:rsidR="0081693F" w:rsidRPr="006C0E52" w:rsidRDefault="00690AAF" w:rsidP="00690AAF">
            <w:pPr>
              <w:jc w:val="right"/>
              <w:rPr>
                <w:color w:val="000000"/>
                <w:sz w:val="20"/>
                <w:szCs w:val="20"/>
                <w:lang w:val="es-CO" w:eastAsia="es-CO"/>
              </w:rPr>
            </w:pPr>
            <w:r w:rsidRPr="00690AAF">
              <w:rPr>
                <w:color w:val="000000"/>
                <w:sz w:val="20"/>
                <w:szCs w:val="20"/>
                <w:lang w:val="es-CO" w:eastAsia="es-CO"/>
              </w:rPr>
              <w:t>149,62</w:t>
            </w:r>
          </w:p>
        </w:tc>
      </w:tr>
      <w:tr w:rsidR="0081693F" w:rsidRPr="00690AAF" w14:paraId="4645BA5D" w14:textId="77777777" w:rsidTr="0075124B">
        <w:trPr>
          <w:trHeight w:val="300"/>
          <w:jc w:val="center"/>
        </w:trPr>
        <w:tc>
          <w:tcPr>
            <w:tcW w:w="1413" w:type="dxa"/>
            <w:vMerge/>
            <w:shd w:val="clear" w:color="auto" w:fill="D9D9D9" w:themeFill="background1" w:themeFillShade="D9"/>
            <w:vAlign w:val="center"/>
            <w:hideMark/>
          </w:tcPr>
          <w:p w14:paraId="6D04E545" w14:textId="77777777" w:rsidR="0081693F" w:rsidRPr="006C0E52" w:rsidRDefault="0081693F" w:rsidP="00690AAF">
            <w:pPr>
              <w:jc w:val="left"/>
              <w:rPr>
                <w:b/>
                <w:color w:val="000000"/>
                <w:sz w:val="20"/>
                <w:szCs w:val="20"/>
                <w:lang w:val="es-CO" w:eastAsia="es-CO"/>
              </w:rPr>
            </w:pPr>
          </w:p>
        </w:tc>
        <w:tc>
          <w:tcPr>
            <w:tcW w:w="2835" w:type="dxa"/>
            <w:shd w:val="clear" w:color="auto" w:fill="auto"/>
            <w:noWrap/>
            <w:vAlign w:val="center"/>
            <w:hideMark/>
          </w:tcPr>
          <w:p w14:paraId="6FDC857F" w14:textId="77777777" w:rsidR="0081693F" w:rsidRPr="006C0E52" w:rsidRDefault="0081693F" w:rsidP="00690AAF">
            <w:pPr>
              <w:jc w:val="left"/>
              <w:rPr>
                <w:i/>
                <w:color w:val="000000"/>
                <w:sz w:val="20"/>
                <w:szCs w:val="20"/>
                <w:lang w:val="es-CO" w:eastAsia="es-CO"/>
              </w:rPr>
            </w:pPr>
            <w:r w:rsidRPr="00690AAF">
              <w:rPr>
                <w:i/>
                <w:color w:val="000000"/>
                <w:sz w:val="20"/>
                <w:szCs w:val="20"/>
                <w:lang w:val="es-CO" w:eastAsia="es-CO"/>
              </w:rPr>
              <w:t xml:space="preserve">  </w:t>
            </w:r>
            <w:r w:rsidRPr="006C0E52">
              <w:rPr>
                <w:i/>
                <w:color w:val="000000"/>
                <w:sz w:val="20"/>
                <w:szCs w:val="20"/>
                <w:lang w:val="es-CO" w:eastAsia="es-CO"/>
              </w:rPr>
              <w:t>Componente de inversión</w:t>
            </w:r>
          </w:p>
        </w:tc>
        <w:tc>
          <w:tcPr>
            <w:tcW w:w="1471" w:type="dxa"/>
            <w:shd w:val="clear" w:color="auto" w:fill="auto"/>
            <w:noWrap/>
            <w:vAlign w:val="center"/>
          </w:tcPr>
          <w:p w14:paraId="79FA410F" w14:textId="526BD6B1" w:rsidR="0081693F" w:rsidRPr="006C0E52" w:rsidRDefault="00690AAF" w:rsidP="00690AAF">
            <w:pPr>
              <w:jc w:val="right"/>
              <w:rPr>
                <w:i/>
                <w:color w:val="000000"/>
                <w:sz w:val="20"/>
                <w:szCs w:val="20"/>
                <w:lang w:val="es-CO" w:eastAsia="es-CO"/>
              </w:rPr>
            </w:pPr>
            <w:r w:rsidRPr="00690AAF">
              <w:rPr>
                <w:i/>
                <w:color w:val="000000"/>
                <w:sz w:val="20"/>
                <w:szCs w:val="20"/>
                <w:lang w:val="es-CO" w:eastAsia="es-CO"/>
              </w:rPr>
              <w:t>95,77</w:t>
            </w:r>
          </w:p>
        </w:tc>
        <w:tc>
          <w:tcPr>
            <w:tcW w:w="1471" w:type="dxa"/>
            <w:shd w:val="clear" w:color="auto" w:fill="auto"/>
            <w:noWrap/>
            <w:vAlign w:val="center"/>
          </w:tcPr>
          <w:p w14:paraId="109EDA42" w14:textId="04206456" w:rsidR="0081693F" w:rsidRPr="006C0E52" w:rsidRDefault="00690AAF" w:rsidP="00690AAF">
            <w:pPr>
              <w:jc w:val="right"/>
              <w:rPr>
                <w:i/>
                <w:color w:val="000000"/>
                <w:sz w:val="20"/>
                <w:szCs w:val="20"/>
                <w:lang w:val="es-CO" w:eastAsia="es-CO"/>
              </w:rPr>
            </w:pPr>
            <w:r w:rsidRPr="00690AAF">
              <w:rPr>
                <w:i/>
                <w:color w:val="000000"/>
                <w:sz w:val="20"/>
                <w:szCs w:val="20"/>
                <w:lang w:val="es-CO" w:eastAsia="es-CO"/>
              </w:rPr>
              <w:t>97,21</w:t>
            </w:r>
          </w:p>
        </w:tc>
        <w:tc>
          <w:tcPr>
            <w:tcW w:w="1472" w:type="dxa"/>
            <w:shd w:val="clear" w:color="auto" w:fill="auto"/>
            <w:noWrap/>
            <w:vAlign w:val="center"/>
          </w:tcPr>
          <w:p w14:paraId="3927C88E" w14:textId="32F85F21" w:rsidR="0081693F" w:rsidRPr="006C0E52" w:rsidRDefault="00690AAF" w:rsidP="00690AAF">
            <w:pPr>
              <w:jc w:val="right"/>
              <w:rPr>
                <w:i/>
                <w:color w:val="000000"/>
                <w:sz w:val="20"/>
                <w:szCs w:val="20"/>
                <w:lang w:val="es-CO" w:eastAsia="es-CO"/>
              </w:rPr>
            </w:pPr>
            <w:r w:rsidRPr="00690AAF">
              <w:rPr>
                <w:i/>
                <w:color w:val="000000"/>
                <w:sz w:val="20"/>
                <w:szCs w:val="20"/>
                <w:lang w:val="es-CO" w:eastAsia="es-CO"/>
              </w:rPr>
              <w:t>87,59</w:t>
            </w:r>
          </w:p>
        </w:tc>
      </w:tr>
      <w:tr w:rsidR="0081693F" w:rsidRPr="00690AAF" w14:paraId="1AA264EC" w14:textId="77777777" w:rsidTr="0075124B">
        <w:trPr>
          <w:trHeight w:val="300"/>
          <w:jc w:val="center"/>
        </w:trPr>
        <w:tc>
          <w:tcPr>
            <w:tcW w:w="1413" w:type="dxa"/>
            <w:vMerge/>
            <w:shd w:val="clear" w:color="auto" w:fill="D9D9D9" w:themeFill="background1" w:themeFillShade="D9"/>
            <w:vAlign w:val="center"/>
            <w:hideMark/>
          </w:tcPr>
          <w:p w14:paraId="7C0B6643" w14:textId="77777777" w:rsidR="0081693F" w:rsidRPr="006C0E52" w:rsidRDefault="0081693F" w:rsidP="00690AAF">
            <w:pPr>
              <w:jc w:val="left"/>
              <w:rPr>
                <w:b/>
                <w:color w:val="000000"/>
                <w:sz w:val="20"/>
                <w:szCs w:val="20"/>
                <w:lang w:val="es-CO" w:eastAsia="es-CO"/>
              </w:rPr>
            </w:pPr>
          </w:p>
        </w:tc>
        <w:tc>
          <w:tcPr>
            <w:tcW w:w="2835" w:type="dxa"/>
            <w:shd w:val="clear" w:color="auto" w:fill="auto"/>
            <w:noWrap/>
            <w:vAlign w:val="center"/>
            <w:hideMark/>
          </w:tcPr>
          <w:p w14:paraId="5C5F086E" w14:textId="77777777" w:rsidR="0081693F" w:rsidRPr="006C0E52" w:rsidRDefault="0081693F" w:rsidP="00690AAF">
            <w:pPr>
              <w:jc w:val="left"/>
              <w:rPr>
                <w:i/>
                <w:color w:val="000000"/>
                <w:sz w:val="20"/>
                <w:szCs w:val="20"/>
                <w:lang w:val="es-CO" w:eastAsia="es-CO"/>
              </w:rPr>
            </w:pPr>
            <w:r w:rsidRPr="00690AAF">
              <w:rPr>
                <w:i/>
                <w:color w:val="000000"/>
                <w:sz w:val="20"/>
                <w:szCs w:val="20"/>
                <w:lang w:val="es-CO" w:eastAsia="es-CO"/>
              </w:rPr>
              <w:t xml:space="preserve">  </w:t>
            </w:r>
            <w:r w:rsidRPr="006C0E52">
              <w:rPr>
                <w:i/>
                <w:color w:val="000000"/>
                <w:sz w:val="20"/>
                <w:szCs w:val="20"/>
                <w:lang w:val="es-CO" w:eastAsia="es-CO"/>
              </w:rPr>
              <w:t>Componente Gastos AOM</w:t>
            </w:r>
          </w:p>
        </w:tc>
        <w:tc>
          <w:tcPr>
            <w:tcW w:w="1471" w:type="dxa"/>
            <w:shd w:val="clear" w:color="auto" w:fill="auto"/>
            <w:noWrap/>
            <w:vAlign w:val="center"/>
          </w:tcPr>
          <w:p w14:paraId="44D359F9" w14:textId="1EFBB517" w:rsidR="0081693F" w:rsidRPr="006C0E52" w:rsidRDefault="00690AAF" w:rsidP="00690AAF">
            <w:pPr>
              <w:jc w:val="right"/>
              <w:rPr>
                <w:i/>
                <w:color w:val="000000"/>
                <w:sz w:val="20"/>
                <w:szCs w:val="20"/>
                <w:lang w:val="es-CO" w:eastAsia="es-CO"/>
              </w:rPr>
            </w:pPr>
            <w:r w:rsidRPr="00690AAF">
              <w:rPr>
                <w:i/>
                <w:color w:val="000000"/>
                <w:sz w:val="20"/>
                <w:szCs w:val="20"/>
                <w:lang w:val="es-CO" w:eastAsia="es-CO"/>
              </w:rPr>
              <w:t>62,03</w:t>
            </w:r>
          </w:p>
        </w:tc>
        <w:tc>
          <w:tcPr>
            <w:tcW w:w="1471" w:type="dxa"/>
            <w:shd w:val="clear" w:color="auto" w:fill="auto"/>
            <w:noWrap/>
            <w:vAlign w:val="center"/>
          </w:tcPr>
          <w:p w14:paraId="7B2F8284" w14:textId="5CB01572" w:rsidR="0081693F" w:rsidRPr="006C0E52" w:rsidRDefault="00690AAF" w:rsidP="00690AAF">
            <w:pPr>
              <w:jc w:val="right"/>
              <w:rPr>
                <w:i/>
                <w:color w:val="000000"/>
                <w:sz w:val="20"/>
                <w:szCs w:val="20"/>
                <w:lang w:val="es-CO" w:eastAsia="es-CO"/>
              </w:rPr>
            </w:pPr>
            <w:r w:rsidRPr="00690AAF">
              <w:rPr>
                <w:i/>
                <w:color w:val="000000"/>
                <w:sz w:val="20"/>
                <w:szCs w:val="20"/>
                <w:lang w:val="es-CO" w:eastAsia="es-CO"/>
              </w:rPr>
              <w:t>62,03</w:t>
            </w:r>
          </w:p>
        </w:tc>
        <w:tc>
          <w:tcPr>
            <w:tcW w:w="1472" w:type="dxa"/>
            <w:shd w:val="clear" w:color="auto" w:fill="auto"/>
            <w:noWrap/>
            <w:vAlign w:val="center"/>
          </w:tcPr>
          <w:p w14:paraId="68AEF2B8" w14:textId="68DF6788" w:rsidR="0081693F" w:rsidRPr="006C0E52" w:rsidRDefault="00690AAF" w:rsidP="00690AAF">
            <w:pPr>
              <w:jc w:val="right"/>
              <w:rPr>
                <w:i/>
                <w:color w:val="000000"/>
                <w:sz w:val="20"/>
                <w:szCs w:val="20"/>
                <w:lang w:val="es-CO" w:eastAsia="es-CO"/>
              </w:rPr>
            </w:pPr>
            <w:r w:rsidRPr="00690AAF">
              <w:rPr>
                <w:i/>
                <w:color w:val="000000"/>
                <w:sz w:val="20"/>
                <w:szCs w:val="20"/>
                <w:lang w:val="es-CO" w:eastAsia="es-CO"/>
              </w:rPr>
              <w:t>62,03</w:t>
            </w:r>
          </w:p>
        </w:tc>
      </w:tr>
      <w:tr w:rsidR="00690AAF" w:rsidRPr="00690AAF" w14:paraId="026D4CB0" w14:textId="77777777" w:rsidTr="0075124B">
        <w:trPr>
          <w:trHeight w:val="300"/>
          <w:jc w:val="center"/>
        </w:trPr>
        <w:tc>
          <w:tcPr>
            <w:tcW w:w="1413" w:type="dxa"/>
            <w:vMerge w:val="restart"/>
            <w:shd w:val="clear" w:color="auto" w:fill="D9D9D9" w:themeFill="background1" w:themeFillShade="D9"/>
            <w:vAlign w:val="center"/>
            <w:hideMark/>
          </w:tcPr>
          <w:p w14:paraId="630670AC" w14:textId="77777777" w:rsidR="0081693F" w:rsidRPr="006C0E52" w:rsidRDefault="0081693F" w:rsidP="00690AAF">
            <w:pPr>
              <w:jc w:val="center"/>
              <w:rPr>
                <w:b/>
                <w:color w:val="000000"/>
                <w:sz w:val="20"/>
                <w:szCs w:val="20"/>
                <w:lang w:val="es-CO" w:eastAsia="es-CO"/>
              </w:rPr>
            </w:pPr>
            <w:r w:rsidRPr="006C0E52">
              <w:rPr>
                <w:b/>
                <w:color w:val="000000"/>
                <w:sz w:val="20"/>
                <w:szCs w:val="20"/>
                <w:lang w:val="es-CO" w:eastAsia="es-CO"/>
              </w:rPr>
              <w:t>Diferencia</w:t>
            </w:r>
          </w:p>
        </w:tc>
        <w:tc>
          <w:tcPr>
            <w:tcW w:w="2835" w:type="dxa"/>
            <w:shd w:val="clear" w:color="auto" w:fill="D9D9D9" w:themeFill="background1" w:themeFillShade="D9"/>
            <w:noWrap/>
            <w:vAlign w:val="center"/>
            <w:hideMark/>
          </w:tcPr>
          <w:p w14:paraId="091D6681" w14:textId="77777777" w:rsidR="0081693F" w:rsidRPr="006C0E52" w:rsidRDefault="0081693F" w:rsidP="00690AAF">
            <w:pPr>
              <w:jc w:val="center"/>
              <w:rPr>
                <w:b/>
                <w:color w:val="000000"/>
                <w:sz w:val="20"/>
                <w:szCs w:val="20"/>
                <w:lang w:val="es-CO" w:eastAsia="es-CO"/>
              </w:rPr>
            </w:pPr>
            <w:r w:rsidRPr="006C0E52">
              <w:rPr>
                <w:b/>
                <w:color w:val="000000"/>
                <w:sz w:val="20"/>
                <w:szCs w:val="20"/>
                <w:lang w:val="es-CO" w:eastAsia="es-CO"/>
              </w:rPr>
              <w:t>$/m³</w:t>
            </w:r>
          </w:p>
        </w:tc>
        <w:tc>
          <w:tcPr>
            <w:tcW w:w="1471" w:type="dxa"/>
            <w:shd w:val="clear" w:color="auto" w:fill="D9D9D9" w:themeFill="background1" w:themeFillShade="D9"/>
            <w:noWrap/>
            <w:vAlign w:val="center"/>
            <w:hideMark/>
          </w:tcPr>
          <w:p w14:paraId="47F22B8B" w14:textId="77777777" w:rsidR="0081693F" w:rsidRPr="006C0E52" w:rsidRDefault="0081693F" w:rsidP="00690AAF">
            <w:pPr>
              <w:jc w:val="center"/>
              <w:rPr>
                <w:b/>
                <w:color w:val="000000"/>
                <w:sz w:val="20"/>
                <w:szCs w:val="20"/>
                <w:lang w:val="es-CO" w:eastAsia="es-CO"/>
              </w:rPr>
            </w:pPr>
            <w:r w:rsidRPr="006C0E52">
              <w:rPr>
                <w:b/>
                <w:color w:val="000000"/>
                <w:sz w:val="20"/>
                <w:szCs w:val="20"/>
                <w:lang w:val="es-CO" w:eastAsia="es-CO"/>
              </w:rPr>
              <w:t>2017</w:t>
            </w:r>
          </w:p>
        </w:tc>
        <w:tc>
          <w:tcPr>
            <w:tcW w:w="1471" w:type="dxa"/>
            <w:shd w:val="clear" w:color="auto" w:fill="D9D9D9" w:themeFill="background1" w:themeFillShade="D9"/>
            <w:noWrap/>
            <w:vAlign w:val="center"/>
            <w:hideMark/>
          </w:tcPr>
          <w:p w14:paraId="307D54AE" w14:textId="77777777" w:rsidR="0081693F" w:rsidRPr="006C0E52" w:rsidRDefault="0081693F" w:rsidP="00690AAF">
            <w:pPr>
              <w:jc w:val="center"/>
              <w:rPr>
                <w:b/>
                <w:color w:val="000000"/>
                <w:sz w:val="20"/>
                <w:szCs w:val="20"/>
                <w:lang w:val="es-CO" w:eastAsia="es-CO"/>
              </w:rPr>
            </w:pPr>
            <w:r w:rsidRPr="006C0E52">
              <w:rPr>
                <w:b/>
                <w:color w:val="000000"/>
                <w:sz w:val="20"/>
                <w:szCs w:val="20"/>
                <w:lang w:val="es-CO" w:eastAsia="es-CO"/>
              </w:rPr>
              <w:t>2018</w:t>
            </w:r>
          </w:p>
        </w:tc>
        <w:tc>
          <w:tcPr>
            <w:tcW w:w="1472" w:type="dxa"/>
            <w:shd w:val="clear" w:color="auto" w:fill="D9D9D9" w:themeFill="background1" w:themeFillShade="D9"/>
            <w:noWrap/>
            <w:vAlign w:val="center"/>
            <w:hideMark/>
          </w:tcPr>
          <w:p w14:paraId="5326613D" w14:textId="314E45AC" w:rsidR="0081693F" w:rsidRPr="006C0E52" w:rsidRDefault="0081693F" w:rsidP="00690AAF">
            <w:pPr>
              <w:jc w:val="center"/>
              <w:rPr>
                <w:b/>
                <w:color w:val="000000"/>
                <w:sz w:val="20"/>
                <w:szCs w:val="20"/>
                <w:lang w:val="es-CO" w:eastAsia="es-CO"/>
              </w:rPr>
            </w:pPr>
            <w:r w:rsidRPr="006C0E52">
              <w:rPr>
                <w:b/>
                <w:color w:val="000000"/>
                <w:sz w:val="20"/>
                <w:szCs w:val="20"/>
                <w:lang w:val="es-CO" w:eastAsia="es-CO"/>
              </w:rPr>
              <w:t xml:space="preserve">2019 </w:t>
            </w:r>
            <w:r w:rsidR="00690AAF" w:rsidRPr="00690AAF">
              <w:rPr>
                <w:b/>
                <w:color w:val="000000"/>
                <w:sz w:val="20"/>
                <w:szCs w:val="20"/>
                <w:lang w:val="es-CO" w:eastAsia="es-CO"/>
              </w:rPr>
              <w:t>–</w:t>
            </w:r>
            <w:r w:rsidRPr="006C0E52">
              <w:rPr>
                <w:b/>
                <w:color w:val="000000"/>
                <w:sz w:val="20"/>
                <w:szCs w:val="20"/>
                <w:lang w:val="es-CO" w:eastAsia="es-CO"/>
              </w:rPr>
              <w:t xml:space="preserve"> 2021</w:t>
            </w:r>
          </w:p>
        </w:tc>
      </w:tr>
      <w:tr w:rsidR="0081693F" w:rsidRPr="00690AAF" w14:paraId="3B131DF3" w14:textId="77777777" w:rsidTr="0075124B">
        <w:trPr>
          <w:trHeight w:val="300"/>
          <w:jc w:val="center"/>
        </w:trPr>
        <w:tc>
          <w:tcPr>
            <w:tcW w:w="1413" w:type="dxa"/>
            <w:vMerge/>
            <w:shd w:val="clear" w:color="auto" w:fill="D9D9D9" w:themeFill="background1" w:themeFillShade="D9"/>
            <w:vAlign w:val="center"/>
            <w:hideMark/>
          </w:tcPr>
          <w:p w14:paraId="3623A227" w14:textId="77777777" w:rsidR="0081693F" w:rsidRPr="006C0E52" w:rsidRDefault="0081693F" w:rsidP="00690AAF">
            <w:pPr>
              <w:jc w:val="left"/>
              <w:rPr>
                <w:color w:val="000000"/>
                <w:sz w:val="20"/>
                <w:szCs w:val="20"/>
                <w:lang w:val="es-CO" w:eastAsia="es-CO"/>
              </w:rPr>
            </w:pPr>
          </w:p>
        </w:tc>
        <w:tc>
          <w:tcPr>
            <w:tcW w:w="2835" w:type="dxa"/>
            <w:shd w:val="clear" w:color="auto" w:fill="auto"/>
            <w:noWrap/>
            <w:vAlign w:val="center"/>
            <w:hideMark/>
          </w:tcPr>
          <w:p w14:paraId="10107E13" w14:textId="77777777" w:rsidR="0081693F" w:rsidRPr="006C0E52" w:rsidRDefault="0081693F" w:rsidP="00690AAF">
            <w:pPr>
              <w:jc w:val="left"/>
              <w:rPr>
                <w:color w:val="000000"/>
                <w:sz w:val="20"/>
                <w:szCs w:val="20"/>
                <w:lang w:val="es-CO" w:eastAsia="es-CO"/>
              </w:rPr>
            </w:pPr>
            <w:r w:rsidRPr="006C0E52">
              <w:rPr>
                <w:color w:val="000000"/>
                <w:sz w:val="20"/>
                <w:szCs w:val="20"/>
                <w:lang w:val="es-CO" w:eastAsia="es-CO"/>
              </w:rPr>
              <w:t>Cargo de distribución</w:t>
            </w:r>
          </w:p>
        </w:tc>
        <w:tc>
          <w:tcPr>
            <w:tcW w:w="1471" w:type="dxa"/>
            <w:shd w:val="clear" w:color="auto" w:fill="auto"/>
            <w:noWrap/>
            <w:vAlign w:val="center"/>
          </w:tcPr>
          <w:p w14:paraId="63C16974" w14:textId="1AEA259A" w:rsidR="0081693F" w:rsidRPr="006C0E52" w:rsidRDefault="00690AAF" w:rsidP="00690AAF">
            <w:pPr>
              <w:jc w:val="right"/>
              <w:rPr>
                <w:color w:val="000000"/>
                <w:sz w:val="20"/>
                <w:szCs w:val="20"/>
                <w:lang w:val="es-CO" w:eastAsia="es-CO"/>
              </w:rPr>
            </w:pPr>
            <w:r w:rsidRPr="00690AAF">
              <w:rPr>
                <w:color w:val="000000"/>
                <w:sz w:val="20"/>
                <w:szCs w:val="20"/>
                <w:lang w:val="es-CO" w:eastAsia="es-CO"/>
              </w:rPr>
              <w:t>7,78</w:t>
            </w:r>
          </w:p>
        </w:tc>
        <w:tc>
          <w:tcPr>
            <w:tcW w:w="1471" w:type="dxa"/>
            <w:shd w:val="clear" w:color="auto" w:fill="auto"/>
            <w:noWrap/>
            <w:vAlign w:val="center"/>
          </w:tcPr>
          <w:p w14:paraId="0DF77D15" w14:textId="77A60D18" w:rsidR="0081693F" w:rsidRPr="006C0E52" w:rsidRDefault="00690AAF" w:rsidP="00690AAF">
            <w:pPr>
              <w:jc w:val="right"/>
              <w:rPr>
                <w:color w:val="000000"/>
                <w:sz w:val="20"/>
                <w:szCs w:val="20"/>
                <w:lang w:val="es-CO" w:eastAsia="es-CO"/>
              </w:rPr>
            </w:pPr>
            <w:r w:rsidRPr="00690AAF">
              <w:rPr>
                <w:color w:val="000000"/>
                <w:sz w:val="20"/>
                <w:szCs w:val="20"/>
                <w:lang w:val="es-CO" w:eastAsia="es-CO"/>
              </w:rPr>
              <w:t>7,90</w:t>
            </w:r>
          </w:p>
        </w:tc>
        <w:tc>
          <w:tcPr>
            <w:tcW w:w="1472" w:type="dxa"/>
            <w:shd w:val="clear" w:color="auto" w:fill="auto"/>
            <w:noWrap/>
            <w:vAlign w:val="center"/>
          </w:tcPr>
          <w:p w14:paraId="6A863E5B" w14:textId="604CF8EB" w:rsidR="0081693F" w:rsidRPr="006C0E52" w:rsidRDefault="00690AAF" w:rsidP="00690AAF">
            <w:pPr>
              <w:jc w:val="right"/>
              <w:rPr>
                <w:color w:val="000000"/>
                <w:sz w:val="20"/>
                <w:szCs w:val="20"/>
                <w:lang w:val="es-CO" w:eastAsia="es-CO"/>
              </w:rPr>
            </w:pPr>
            <w:r w:rsidRPr="00690AAF">
              <w:rPr>
                <w:color w:val="000000"/>
                <w:sz w:val="20"/>
                <w:szCs w:val="20"/>
                <w:lang w:val="es-CO" w:eastAsia="es-CO"/>
              </w:rPr>
              <w:t>7,12</w:t>
            </w:r>
          </w:p>
        </w:tc>
      </w:tr>
      <w:tr w:rsidR="0081693F" w:rsidRPr="00690AAF" w14:paraId="3CCA2877" w14:textId="77777777" w:rsidTr="0075124B">
        <w:trPr>
          <w:trHeight w:val="300"/>
          <w:jc w:val="center"/>
        </w:trPr>
        <w:tc>
          <w:tcPr>
            <w:tcW w:w="1413" w:type="dxa"/>
            <w:vMerge/>
            <w:shd w:val="clear" w:color="auto" w:fill="D9D9D9" w:themeFill="background1" w:themeFillShade="D9"/>
            <w:vAlign w:val="center"/>
            <w:hideMark/>
          </w:tcPr>
          <w:p w14:paraId="6770B48A" w14:textId="77777777" w:rsidR="0081693F" w:rsidRPr="006C0E52" w:rsidRDefault="0081693F" w:rsidP="00690AAF">
            <w:pPr>
              <w:jc w:val="left"/>
              <w:rPr>
                <w:color w:val="000000"/>
                <w:sz w:val="20"/>
                <w:szCs w:val="20"/>
                <w:lang w:val="es-CO" w:eastAsia="es-CO"/>
              </w:rPr>
            </w:pPr>
          </w:p>
        </w:tc>
        <w:tc>
          <w:tcPr>
            <w:tcW w:w="2835" w:type="dxa"/>
            <w:shd w:val="clear" w:color="auto" w:fill="auto"/>
            <w:noWrap/>
            <w:vAlign w:val="center"/>
            <w:hideMark/>
          </w:tcPr>
          <w:p w14:paraId="69CAF3FD" w14:textId="77777777" w:rsidR="0081693F" w:rsidRPr="006C0E52" w:rsidRDefault="0081693F" w:rsidP="00690AAF">
            <w:pPr>
              <w:jc w:val="left"/>
              <w:rPr>
                <w:i/>
                <w:color w:val="000000"/>
                <w:sz w:val="20"/>
                <w:szCs w:val="20"/>
                <w:lang w:val="es-CO" w:eastAsia="es-CO"/>
              </w:rPr>
            </w:pPr>
            <w:r w:rsidRPr="00690AAF">
              <w:rPr>
                <w:i/>
                <w:color w:val="000000"/>
                <w:sz w:val="20"/>
                <w:szCs w:val="20"/>
                <w:lang w:val="es-CO" w:eastAsia="es-CO"/>
              </w:rPr>
              <w:t xml:space="preserve">  </w:t>
            </w:r>
            <w:r w:rsidRPr="006C0E52">
              <w:rPr>
                <w:i/>
                <w:color w:val="000000"/>
                <w:sz w:val="20"/>
                <w:szCs w:val="20"/>
                <w:lang w:val="es-CO" w:eastAsia="es-CO"/>
              </w:rPr>
              <w:t>Componente de inversión</w:t>
            </w:r>
          </w:p>
        </w:tc>
        <w:tc>
          <w:tcPr>
            <w:tcW w:w="1471" w:type="dxa"/>
            <w:shd w:val="clear" w:color="auto" w:fill="auto"/>
            <w:noWrap/>
            <w:vAlign w:val="center"/>
          </w:tcPr>
          <w:p w14:paraId="29FF134B" w14:textId="5A406ACE" w:rsidR="0081693F" w:rsidRPr="006C0E52" w:rsidRDefault="00690AAF" w:rsidP="00690AAF">
            <w:pPr>
              <w:jc w:val="right"/>
              <w:rPr>
                <w:i/>
                <w:color w:val="000000"/>
                <w:sz w:val="20"/>
                <w:szCs w:val="20"/>
                <w:lang w:val="es-CO" w:eastAsia="es-CO"/>
              </w:rPr>
            </w:pPr>
            <w:r w:rsidRPr="00690AAF">
              <w:rPr>
                <w:i/>
                <w:color w:val="000000"/>
                <w:sz w:val="20"/>
                <w:szCs w:val="20"/>
                <w:lang w:val="es-CO" w:eastAsia="es-CO"/>
              </w:rPr>
              <w:t>7,78</w:t>
            </w:r>
          </w:p>
        </w:tc>
        <w:tc>
          <w:tcPr>
            <w:tcW w:w="1471" w:type="dxa"/>
            <w:shd w:val="clear" w:color="auto" w:fill="auto"/>
            <w:noWrap/>
            <w:vAlign w:val="center"/>
          </w:tcPr>
          <w:p w14:paraId="3993EAAE" w14:textId="1DB7A116" w:rsidR="0081693F" w:rsidRPr="006C0E52" w:rsidRDefault="00690AAF" w:rsidP="00690AAF">
            <w:pPr>
              <w:jc w:val="right"/>
              <w:rPr>
                <w:i/>
                <w:color w:val="000000"/>
                <w:sz w:val="20"/>
                <w:szCs w:val="20"/>
                <w:lang w:val="es-CO" w:eastAsia="es-CO"/>
              </w:rPr>
            </w:pPr>
            <w:r w:rsidRPr="00690AAF">
              <w:rPr>
                <w:i/>
                <w:color w:val="000000"/>
                <w:sz w:val="20"/>
                <w:szCs w:val="20"/>
                <w:lang w:val="es-CO" w:eastAsia="es-CO"/>
              </w:rPr>
              <w:t>7,90</w:t>
            </w:r>
          </w:p>
        </w:tc>
        <w:tc>
          <w:tcPr>
            <w:tcW w:w="1472" w:type="dxa"/>
            <w:shd w:val="clear" w:color="auto" w:fill="auto"/>
            <w:noWrap/>
            <w:vAlign w:val="center"/>
          </w:tcPr>
          <w:p w14:paraId="7A9EE528" w14:textId="7A3C250D" w:rsidR="0081693F" w:rsidRPr="006C0E52" w:rsidRDefault="00690AAF" w:rsidP="00690AAF">
            <w:pPr>
              <w:jc w:val="right"/>
              <w:rPr>
                <w:i/>
                <w:color w:val="000000"/>
                <w:sz w:val="20"/>
                <w:szCs w:val="20"/>
                <w:lang w:val="es-CO" w:eastAsia="es-CO"/>
              </w:rPr>
            </w:pPr>
            <w:r w:rsidRPr="00690AAF">
              <w:rPr>
                <w:i/>
                <w:color w:val="000000"/>
                <w:sz w:val="20"/>
                <w:szCs w:val="20"/>
                <w:lang w:val="es-CO" w:eastAsia="es-CO"/>
              </w:rPr>
              <w:t>7,12</w:t>
            </w:r>
          </w:p>
        </w:tc>
      </w:tr>
      <w:tr w:rsidR="0081693F" w:rsidRPr="00690AAF" w14:paraId="6CF6286F" w14:textId="77777777" w:rsidTr="0075124B">
        <w:trPr>
          <w:trHeight w:val="310"/>
          <w:jc w:val="center"/>
        </w:trPr>
        <w:tc>
          <w:tcPr>
            <w:tcW w:w="1413" w:type="dxa"/>
            <w:vMerge/>
            <w:shd w:val="clear" w:color="auto" w:fill="D9D9D9" w:themeFill="background1" w:themeFillShade="D9"/>
            <w:vAlign w:val="center"/>
            <w:hideMark/>
          </w:tcPr>
          <w:p w14:paraId="327F3DAA" w14:textId="77777777" w:rsidR="0081693F" w:rsidRPr="006C0E52" w:rsidRDefault="0081693F" w:rsidP="00690AAF">
            <w:pPr>
              <w:jc w:val="left"/>
              <w:rPr>
                <w:color w:val="000000"/>
                <w:sz w:val="20"/>
                <w:szCs w:val="20"/>
                <w:lang w:val="es-CO" w:eastAsia="es-CO"/>
              </w:rPr>
            </w:pPr>
          </w:p>
        </w:tc>
        <w:tc>
          <w:tcPr>
            <w:tcW w:w="2835" w:type="dxa"/>
            <w:shd w:val="clear" w:color="auto" w:fill="auto"/>
            <w:noWrap/>
            <w:vAlign w:val="center"/>
            <w:hideMark/>
          </w:tcPr>
          <w:p w14:paraId="566D73D4" w14:textId="77777777" w:rsidR="0081693F" w:rsidRPr="006C0E52" w:rsidRDefault="0081693F" w:rsidP="00690AAF">
            <w:pPr>
              <w:jc w:val="left"/>
              <w:rPr>
                <w:i/>
                <w:color w:val="000000"/>
                <w:sz w:val="20"/>
                <w:szCs w:val="20"/>
                <w:lang w:val="es-CO" w:eastAsia="es-CO"/>
              </w:rPr>
            </w:pPr>
            <w:r w:rsidRPr="00690AAF">
              <w:rPr>
                <w:i/>
                <w:color w:val="000000"/>
                <w:sz w:val="20"/>
                <w:szCs w:val="20"/>
                <w:lang w:val="es-CO" w:eastAsia="es-CO"/>
              </w:rPr>
              <w:t xml:space="preserve">  </w:t>
            </w:r>
            <w:r w:rsidRPr="006C0E52">
              <w:rPr>
                <w:i/>
                <w:color w:val="000000"/>
                <w:sz w:val="20"/>
                <w:szCs w:val="20"/>
                <w:lang w:val="es-CO" w:eastAsia="es-CO"/>
              </w:rPr>
              <w:t>Componente Gastos AOM</w:t>
            </w:r>
          </w:p>
        </w:tc>
        <w:tc>
          <w:tcPr>
            <w:tcW w:w="1471" w:type="dxa"/>
            <w:shd w:val="clear" w:color="auto" w:fill="auto"/>
            <w:noWrap/>
            <w:vAlign w:val="center"/>
          </w:tcPr>
          <w:p w14:paraId="40017A63" w14:textId="18529EF3" w:rsidR="0081693F" w:rsidRPr="006C0E52" w:rsidRDefault="00690AAF" w:rsidP="00690AAF">
            <w:pPr>
              <w:jc w:val="right"/>
              <w:rPr>
                <w:i/>
                <w:color w:val="000000"/>
                <w:sz w:val="20"/>
                <w:szCs w:val="20"/>
                <w:lang w:val="es-CO" w:eastAsia="es-CO"/>
              </w:rPr>
            </w:pPr>
            <w:r w:rsidRPr="00690AAF">
              <w:rPr>
                <w:i/>
                <w:color w:val="000000"/>
                <w:sz w:val="20"/>
                <w:szCs w:val="20"/>
                <w:lang w:val="es-CO" w:eastAsia="es-CO"/>
              </w:rPr>
              <w:t>0,00</w:t>
            </w:r>
          </w:p>
        </w:tc>
        <w:tc>
          <w:tcPr>
            <w:tcW w:w="1471" w:type="dxa"/>
            <w:shd w:val="clear" w:color="auto" w:fill="auto"/>
            <w:noWrap/>
            <w:vAlign w:val="center"/>
          </w:tcPr>
          <w:p w14:paraId="13C0F0CC" w14:textId="7E501629" w:rsidR="0081693F" w:rsidRPr="006C0E52" w:rsidRDefault="00690AAF" w:rsidP="00690AAF">
            <w:pPr>
              <w:jc w:val="right"/>
              <w:rPr>
                <w:i/>
                <w:color w:val="000000"/>
                <w:sz w:val="20"/>
                <w:szCs w:val="20"/>
                <w:lang w:val="es-CO" w:eastAsia="es-CO"/>
              </w:rPr>
            </w:pPr>
            <w:r w:rsidRPr="00690AAF">
              <w:rPr>
                <w:i/>
                <w:color w:val="000000"/>
                <w:sz w:val="20"/>
                <w:szCs w:val="20"/>
                <w:lang w:val="es-CO" w:eastAsia="es-CO"/>
              </w:rPr>
              <w:t>0,00</w:t>
            </w:r>
          </w:p>
        </w:tc>
        <w:tc>
          <w:tcPr>
            <w:tcW w:w="1472" w:type="dxa"/>
            <w:shd w:val="clear" w:color="auto" w:fill="auto"/>
            <w:noWrap/>
            <w:vAlign w:val="center"/>
          </w:tcPr>
          <w:p w14:paraId="6BE28ADD" w14:textId="65CC7644" w:rsidR="0081693F" w:rsidRPr="006C0E52" w:rsidRDefault="00690AAF" w:rsidP="00690AAF">
            <w:pPr>
              <w:jc w:val="right"/>
              <w:rPr>
                <w:i/>
                <w:color w:val="000000"/>
                <w:sz w:val="20"/>
                <w:szCs w:val="20"/>
                <w:lang w:val="es-CO" w:eastAsia="es-CO"/>
              </w:rPr>
            </w:pPr>
            <w:r w:rsidRPr="00690AAF">
              <w:rPr>
                <w:i/>
                <w:color w:val="000000"/>
                <w:sz w:val="20"/>
                <w:szCs w:val="20"/>
                <w:lang w:val="es-CO" w:eastAsia="es-CO"/>
              </w:rPr>
              <w:t>0,00</w:t>
            </w:r>
          </w:p>
        </w:tc>
      </w:tr>
    </w:tbl>
    <w:p w14:paraId="534803A3" w14:textId="25E3D9D1" w:rsidR="00D81518" w:rsidRPr="00913B32" w:rsidRDefault="00904738" w:rsidP="00056CBF">
      <w:pPr>
        <w:pStyle w:val="Ttulo5"/>
        <w:tabs>
          <w:tab w:val="clear" w:pos="1080"/>
          <w:tab w:val="num" w:pos="567"/>
        </w:tabs>
        <w:ind w:left="567" w:hanging="567"/>
        <w:rPr>
          <w:rFonts w:eastAsia="Calibri"/>
          <w:sz w:val="22"/>
          <w:szCs w:val="22"/>
          <w:lang w:eastAsia="es-CO"/>
        </w:rPr>
      </w:pPr>
      <w:r>
        <w:rPr>
          <w:rFonts w:eastAsia="Calibri"/>
          <w:sz w:val="22"/>
          <w:szCs w:val="22"/>
          <w:lang w:eastAsia="es-CO"/>
        </w:rPr>
        <w:t>PETICIÓN</w:t>
      </w:r>
      <w:r w:rsidR="005B6C3F" w:rsidRPr="00913B32">
        <w:rPr>
          <w:rFonts w:eastAsia="Calibri"/>
          <w:sz w:val="22"/>
          <w:szCs w:val="22"/>
          <w:lang w:eastAsia="es-CO"/>
        </w:rPr>
        <w:t xml:space="preserve"> DE </w:t>
      </w:r>
      <w:r>
        <w:rPr>
          <w:rFonts w:eastAsia="Calibri"/>
          <w:sz w:val="22"/>
          <w:szCs w:val="22"/>
          <w:lang w:eastAsia="es-CO"/>
        </w:rPr>
        <w:t>GASES DEL CARIBE</w:t>
      </w:r>
      <w:r w:rsidR="00ED5CEB" w:rsidRPr="00913B32">
        <w:rPr>
          <w:rFonts w:eastAsia="Calibri"/>
          <w:sz w:val="22"/>
          <w:szCs w:val="22"/>
          <w:lang w:eastAsia="es-CO"/>
        </w:rPr>
        <w:t xml:space="preserve"> S.A. E.S.P.</w:t>
      </w:r>
    </w:p>
    <w:p w14:paraId="69DB757C" w14:textId="44F2E0DB" w:rsidR="005B6C3F" w:rsidRPr="00CF3FD0" w:rsidRDefault="00D81518" w:rsidP="00CF3FD0">
      <w:pPr>
        <w:adjustRightInd w:val="0"/>
        <w:spacing w:before="240" w:after="240"/>
        <w:ind w:right="23"/>
      </w:pPr>
      <w:r w:rsidRPr="00CF3FD0">
        <w:t xml:space="preserve">Se reponga </w:t>
      </w:r>
      <w:r w:rsidR="00904738" w:rsidRPr="00CF3FD0">
        <w:t>modifiquen los cargos de distribución transitorios para los usuarios de uso residencial aprobados para los años 2017 a 2021 y los cargos de distribución transitorios aprobados para los usuarios diferentes a los de uso residencial aprobados para los años 2017 a 2021, establecidos en la Resolución CREG 198 de 2017.</w:t>
      </w:r>
    </w:p>
    <w:p w14:paraId="16C6E3FD" w14:textId="218AB748" w:rsidR="009A5D9F" w:rsidRPr="00913B32" w:rsidRDefault="009A5D9F" w:rsidP="00056CBF">
      <w:pPr>
        <w:pStyle w:val="Ttulo5"/>
        <w:tabs>
          <w:tab w:val="clear" w:pos="1080"/>
        </w:tabs>
        <w:ind w:left="567" w:hanging="567"/>
        <w:rPr>
          <w:sz w:val="22"/>
          <w:szCs w:val="22"/>
        </w:rPr>
      </w:pPr>
      <w:r w:rsidRPr="00904738">
        <w:rPr>
          <w:rFonts w:eastAsia="Calibri"/>
          <w:sz w:val="22"/>
          <w:szCs w:val="22"/>
          <w:lang w:eastAsia="es-CO"/>
        </w:rPr>
        <w:t>ANÁLISIS DE LA CREG</w:t>
      </w:r>
    </w:p>
    <w:p w14:paraId="73D5CD0F" w14:textId="4DDEAB85" w:rsidR="007A39BF" w:rsidRDefault="0032167A" w:rsidP="0032167A">
      <w:pPr>
        <w:spacing w:before="240" w:after="240"/>
        <w:rPr>
          <w:lang w:val="es-ES_tradnl"/>
        </w:rPr>
      </w:pPr>
      <w:r>
        <w:rPr>
          <w:lang w:val="es-ES_tradnl"/>
        </w:rPr>
        <w:t xml:space="preserve">En los numerales 4 y 20 del Anexo 4 de la Resolución CREG 202 de 2013 se establecen los costos de las unidades constructivas para valorar la Inversión Existente </w:t>
      </w:r>
      <w:r w:rsidR="004C7871">
        <w:rPr>
          <w:lang w:val="es-ES_tradnl"/>
        </w:rPr>
        <w:t>de</w:t>
      </w:r>
      <w:r>
        <w:rPr>
          <w:lang w:val="es-ES_tradnl"/>
        </w:rPr>
        <w:t xml:space="preserve"> las empresas GASES DEL CARIBE S.A. E.S.P. y PROMIGAS S.A. E.S.P. respectivamente.</w:t>
      </w:r>
      <w:r w:rsidR="006D1CB9">
        <w:rPr>
          <w:lang w:val="es-ES_tradnl"/>
        </w:rPr>
        <w:t xml:space="preserve"> </w:t>
      </w:r>
      <w:r w:rsidR="00BE7331">
        <w:rPr>
          <w:lang w:val="es-ES_tradnl"/>
        </w:rPr>
        <w:t>En el Cuadro 4</w:t>
      </w:r>
      <w:r w:rsidR="007A39BF">
        <w:rPr>
          <w:lang w:val="es-ES_tradnl"/>
        </w:rPr>
        <w:t xml:space="preserve"> se muestran dichos costos</w:t>
      </w:r>
      <w:r w:rsidR="001C4364">
        <w:rPr>
          <w:lang w:val="es-ES_tradnl"/>
        </w:rPr>
        <w:t xml:space="preserve"> para las </w:t>
      </w:r>
      <w:r w:rsidR="001C4364">
        <w:rPr>
          <w:lang w:val="es-ES_tradnl"/>
        </w:rPr>
        <w:lastRenderedPageBreak/>
        <w:t>unidades constructivas para las cuales la empresa GASES DEL CARIBE S.A. E.S.P. manifiesta que existen diferencias</w:t>
      </w:r>
      <w:r w:rsidR="006D1CB9">
        <w:rPr>
          <w:lang w:val="es-ES_tradnl"/>
        </w:rPr>
        <w:t>.</w:t>
      </w:r>
    </w:p>
    <w:p w14:paraId="0A13DDD1" w14:textId="6C64945D" w:rsidR="0032167A" w:rsidRPr="0032167A" w:rsidRDefault="00BE7331" w:rsidP="00194165">
      <w:pPr>
        <w:keepNext/>
        <w:spacing w:before="240" w:after="120"/>
        <w:jc w:val="center"/>
        <w:rPr>
          <w:b/>
          <w:lang w:val="es-ES_tradnl"/>
        </w:rPr>
      </w:pPr>
      <w:r>
        <w:rPr>
          <w:b/>
          <w:lang w:val="es-ES_tradnl"/>
        </w:rPr>
        <w:t>Cuadro 4</w:t>
      </w:r>
      <w:r w:rsidR="0032167A" w:rsidRPr="0032167A">
        <w:rPr>
          <w:b/>
          <w:lang w:val="es-ES_tradnl"/>
        </w:rPr>
        <w:t>.</w:t>
      </w:r>
    </w:p>
    <w:tbl>
      <w:tblPr>
        <w:tblStyle w:val="Tablaconcuadrcula"/>
        <w:tblW w:w="5000" w:type="pct"/>
        <w:tblLook w:val="04A0" w:firstRow="1" w:lastRow="0" w:firstColumn="1" w:lastColumn="0" w:noHBand="0" w:noVBand="1"/>
      </w:tblPr>
      <w:tblGrid>
        <w:gridCol w:w="1323"/>
        <w:gridCol w:w="4140"/>
        <w:gridCol w:w="873"/>
        <w:gridCol w:w="1505"/>
        <w:gridCol w:w="1505"/>
      </w:tblGrid>
      <w:tr w:rsidR="007A39BF" w14:paraId="503FE3C2" w14:textId="09F0AE9C" w:rsidTr="00194165">
        <w:trPr>
          <w:tblHeader/>
        </w:trPr>
        <w:tc>
          <w:tcPr>
            <w:tcW w:w="708" w:type="pct"/>
            <w:vMerge w:val="restart"/>
            <w:shd w:val="clear" w:color="auto" w:fill="D9D9D9" w:themeFill="background1" w:themeFillShade="D9"/>
            <w:vAlign w:val="center"/>
          </w:tcPr>
          <w:p w14:paraId="15F91D09" w14:textId="75405D8F" w:rsidR="007A39BF" w:rsidRPr="003C1B25" w:rsidRDefault="007A39BF" w:rsidP="003C1B25">
            <w:pPr>
              <w:jc w:val="center"/>
              <w:rPr>
                <w:b/>
                <w:sz w:val="18"/>
                <w:szCs w:val="18"/>
                <w:lang w:val="es-ES_tradnl"/>
              </w:rPr>
            </w:pPr>
            <w:r w:rsidRPr="003C1B25">
              <w:rPr>
                <w:b/>
                <w:sz w:val="18"/>
                <w:szCs w:val="18"/>
                <w:lang w:val="es-ES_tradnl"/>
              </w:rPr>
              <w:t>Código UC</w:t>
            </w:r>
          </w:p>
        </w:tc>
        <w:tc>
          <w:tcPr>
            <w:tcW w:w="2215" w:type="pct"/>
            <w:vMerge w:val="restart"/>
            <w:shd w:val="clear" w:color="auto" w:fill="D9D9D9" w:themeFill="background1" w:themeFillShade="D9"/>
            <w:vAlign w:val="center"/>
          </w:tcPr>
          <w:p w14:paraId="10DBAD20" w14:textId="5F3296A8" w:rsidR="007A39BF" w:rsidRPr="003C1B25" w:rsidRDefault="007A39BF" w:rsidP="003C1B25">
            <w:pPr>
              <w:jc w:val="center"/>
              <w:rPr>
                <w:b/>
                <w:sz w:val="18"/>
                <w:szCs w:val="18"/>
                <w:lang w:val="es-ES_tradnl"/>
              </w:rPr>
            </w:pPr>
            <w:r w:rsidRPr="003C1B25">
              <w:rPr>
                <w:b/>
                <w:sz w:val="18"/>
                <w:szCs w:val="18"/>
                <w:lang w:val="es-ES_tradnl"/>
              </w:rPr>
              <w:t>Descripción de Unidad Constructiva</w:t>
            </w:r>
          </w:p>
        </w:tc>
        <w:tc>
          <w:tcPr>
            <w:tcW w:w="467" w:type="pct"/>
            <w:vMerge w:val="restart"/>
            <w:shd w:val="clear" w:color="auto" w:fill="D9D9D9" w:themeFill="background1" w:themeFillShade="D9"/>
            <w:vAlign w:val="center"/>
          </w:tcPr>
          <w:p w14:paraId="568D69B5" w14:textId="2D255D47" w:rsidR="007A39BF" w:rsidRPr="003C1B25" w:rsidRDefault="007A39BF" w:rsidP="003C1B25">
            <w:pPr>
              <w:jc w:val="center"/>
              <w:rPr>
                <w:b/>
                <w:sz w:val="18"/>
                <w:szCs w:val="18"/>
                <w:lang w:val="es-ES_tradnl"/>
              </w:rPr>
            </w:pPr>
            <w:r w:rsidRPr="003C1B25">
              <w:rPr>
                <w:b/>
                <w:sz w:val="18"/>
                <w:szCs w:val="18"/>
                <w:lang w:val="es-ES_tradnl"/>
              </w:rPr>
              <w:t>Unidad</w:t>
            </w:r>
          </w:p>
        </w:tc>
        <w:tc>
          <w:tcPr>
            <w:tcW w:w="1610" w:type="pct"/>
            <w:gridSpan w:val="2"/>
            <w:shd w:val="clear" w:color="auto" w:fill="D9D9D9" w:themeFill="background1" w:themeFillShade="D9"/>
            <w:vAlign w:val="center"/>
          </w:tcPr>
          <w:p w14:paraId="39821594" w14:textId="56C8D92D" w:rsidR="007A39BF" w:rsidRDefault="007A39BF" w:rsidP="00194165">
            <w:pPr>
              <w:jc w:val="center"/>
              <w:rPr>
                <w:b/>
                <w:sz w:val="18"/>
                <w:szCs w:val="18"/>
                <w:lang w:val="es-ES_tradnl"/>
              </w:rPr>
            </w:pPr>
            <w:r>
              <w:rPr>
                <w:b/>
                <w:sz w:val="18"/>
                <w:szCs w:val="18"/>
                <w:lang w:val="es-ES_tradnl"/>
              </w:rPr>
              <w:t xml:space="preserve">Costo reconocido </w:t>
            </w:r>
            <w:r w:rsidRPr="003C1B25">
              <w:rPr>
                <w:b/>
                <w:sz w:val="18"/>
                <w:szCs w:val="18"/>
                <w:lang w:val="es-ES_tradnl"/>
              </w:rPr>
              <w:t>(pesos de dic. 2014)</w:t>
            </w:r>
          </w:p>
        </w:tc>
      </w:tr>
      <w:tr w:rsidR="007A39BF" w14:paraId="6ED75CF6" w14:textId="21247608" w:rsidTr="00194165">
        <w:trPr>
          <w:tblHeader/>
        </w:trPr>
        <w:tc>
          <w:tcPr>
            <w:tcW w:w="708" w:type="pct"/>
            <w:vMerge/>
            <w:shd w:val="clear" w:color="auto" w:fill="D9D9D9" w:themeFill="background1" w:themeFillShade="D9"/>
            <w:vAlign w:val="center"/>
          </w:tcPr>
          <w:p w14:paraId="3E1165A4" w14:textId="77777777" w:rsidR="007A39BF" w:rsidRPr="003C1B25" w:rsidRDefault="007A39BF" w:rsidP="003C1B25">
            <w:pPr>
              <w:jc w:val="center"/>
              <w:rPr>
                <w:b/>
                <w:sz w:val="18"/>
                <w:szCs w:val="18"/>
                <w:lang w:val="es-ES_tradnl"/>
              </w:rPr>
            </w:pPr>
          </w:p>
        </w:tc>
        <w:tc>
          <w:tcPr>
            <w:tcW w:w="2215" w:type="pct"/>
            <w:vMerge/>
            <w:shd w:val="clear" w:color="auto" w:fill="D9D9D9" w:themeFill="background1" w:themeFillShade="D9"/>
            <w:vAlign w:val="center"/>
          </w:tcPr>
          <w:p w14:paraId="3C750817" w14:textId="77777777" w:rsidR="007A39BF" w:rsidRPr="003C1B25" w:rsidRDefault="007A39BF" w:rsidP="003C1B25">
            <w:pPr>
              <w:jc w:val="center"/>
              <w:rPr>
                <w:b/>
                <w:sz w:val="18"/>
                <w:szCs w:val="18"/>
                <w:lang w:val="es-ES_tradnl"/>
              </w:rPr>
            </w:pPr>
          </w:p>
        </w:tc>
        <w:tc>
          <w:tcPr>
            <w:tcW w:w="467" w:type="pct"/>
            <w:vMerge/>
            <w:shd w:val="clear" w:color="auto" w:fill="D9D9D9" w:themeFill="background1" w:themeFillShade="D9"/>
            <w:vAlign w:val="center"/>
          </w:tcPr>
          <w:p w14:paraId="70C42714" w14:textId="77777777" w:rsidR="007A39BF" w:rsidRPr="003C1B25" w:rsidRDefault="007A39BF" w:rsidP="003C1B25">
            <w:pPr>
              <w:jc w:val="center"/>
              <w:rPr>
                <w:b/>
                <w:sz w:val="18"/>
                <w:szCs w:val="18"/>
                <w:lang w:val="es-ES_tradnl"/>
              </w:rPr>
            </w:pPr>
          </w:p>
        </w:tc>
        <w:tc>
          <w:tcPr>
            <w:tcW w:w="805" w:type="pct"/>
            <w:shd w:val="clear" w:color="auto" w:fill="D9D9D9" w:themeFill="background1" w:themeFillShade="D9"/>
            <w:vAlign w:val="center"/>
          </w:tcPr>
          <w:p w14:paraId="301C2A78" w14:textId="5C58D031" w:rsidR="007A39BF" w:rsidRPr="003C1B25" w:rsidRDefault="007A39BF" w:rsidP="00194165">
            <w:pPr>
              <w:jc w:val="center"/>
              <w:rPr>
                <w:b/>
                <w:sz w:val="18"/>
                <w:szCs w:val="18"/>
                <w:lang w:val="es-ES_tradnl"/>
              </w:rPr>
            </w:pPr>
            <w:r w:rsidRPr="003C1B25">
              <w:rPr>
                <w:b/>
                <w:sz w:val="18"/>
                <w:szCs w:val="18"/>
                <w:lang w:val="es-ES_tradnl"/>
              </w:rPr>
              <w:t>GASES DEL CARIBE S.A. E.S.P.</w:t>
            </w:r>
          </w:p>
        </w:tc>
        <w:tc>
          <w:tcPr>
            <w:tcW w:w="805" w:type="pct"/>
            <w:shd w:val="clear" w:color="auto" w:fill="D9D9D9" w:themeFill="background1" w:themeFillShade="D9"/>
            <w:vAlign w:val="center"/>
          </w:tcPr>
          <w:p w14:paraId="023DFA02" w14:textId="6CC0E410" w:rsidR="007A39BF" w:rsidRPr="003C1B25" w:rsidRDefault="007A39BF" w:rsidP="00194165">
            <w:pPr>
              <w:jc w:val="center"/>
              <w:rPr>
                <w:b/>
                <w:sz w:val="18"/>
                <w:szCs w:val="18"/>
                <w:lang w:val="es-ES_tradnl"/>
              </w:rPr>
            </w:pPr>
            <w:r w:rsidRPr="003C1B25">
              <w:rPr>
                <w:b/>
                <w:sz w:val="18"/>
                <w:szCs w:val="18"/>
                <w:lang w:val="es-ES_tradnl"/>
              </w:rPr>
              <w:t>PROMIGAS S.A. E.S.P.</w:t>
            </w:r>
          </w:p>
        </w:tc>
      </w:tr>
      <w:tr w:rsidR="007A39BF" w14:paraId="75806F8E" w14:textId="27877612" w:rsidTr="001C4364">
        <w:tc>
          <w:tcPr>
            <w:tcW w:w="708" w:type="pct"/>
            <w:shd w:val="clear" w:color="auto" w:fill="auto"/>
          </w:tcPr>
          <w:p w14:paraId="42111092" w14:textId="4ADA69B4" w:rsidR="007A39BF" w:rsidRPr="001C4364" w:rsidRDefault="007A39BF" w:rsidP="007A39BF">
            <w:pPr>
              <w:rPr>
                <w:sz w:val="18"/>
                <w:szCs w:val="18"/>
                <w:lang w:val="es-ES_tradnl"/>
              </w:rPr>
            </w:pPr>
            <w:r w:rsidRPr="001C4364">
              <w:rPr>
                <w:sz w:val="18"/>
                <w:szCs w:val="18"/>
                <w:lang w:val="es-ES_tradnl"/>
              </w:rPr>
              <w:t>TA4AS</w:t>
            </w:r>
          </w:p>
        </w:tc>
        <w:tc>
          <w:tcPr>
            <w:tcW w:w="2215" w:type="pct"/>
          </w:tcPr>
          <w:p w14:paraId="23B57BAB" w14:textId="35383830" w:rsidR="007A39BF" w:rsidRPr="0032167A" w:rsidRDefault="007A39BF" w:rsidP="007A39BF">
            <w:pPr>
              <w:rPr>
                <w:sz w:val="18"/>
                <w:szCs w:val="18"/>
                <w:lang w:val="es-ES_tradnl"/>
              </w:rPr>
            </w:pPr>
            <w:r w:rsidRPr="0032167A">
              <w:rPr>
                <w:sz w:val="18"/>
                <w:szCs w:val="18"/>
                <w:lang w:val="es-ES_tradnl"/>
              </w:rPr>
              <w:t>Canalización tuber</w:t>
            </w:r>
            <w:r>
              <w:rPr>
                <w:sz w:val="18"/>
                <w:szCs w:val="18"/>
                <w:lang w:val="es-ES_tradnl"/>
              </w:rPr>
              <w:t>ía de acero de 4</w:t>
            </w:r>
            <w:r w:rsidRPr="0032167A">
              <w:rPr>
                <w:sz w:val="18"/>
                <w:szCs w:val="18"/>
                <w:lang w:val="es-ES_tradnl"/>
              </w:rPr>
              <w:t>” en asfalto</w:t>
            </w:r>
          </w:p>
        </w:tc>
        <w:tc>
          <w:tcPr>
            <w:tcW w:w="467" w:type="pct"/>
          </w:tcPr>
          <w:p w14:paraId="045625AB" w14:textId="6A67FF8A" w:rsidR="007A39BF" w:rsidRPr="0032167A" w:rsidRDefault="007A39BF" w:rsidP="007A39BF">
            <w:pPr>
              <w:rPr>
                <w:sz w:val="18"/>
                <w:szCs w:val="18"/>
                <w:lang w:val="es-ES_tradnl"/>
              </w:rPr>
            </w:pPr>
            <w:r w:rsidRPr="0032167A">
              <w:rPr>
                <w:sz w:val="18"/>
                <w:szCs w:val="18"/>
                <w:lang w:val="es-ES_tradnl"/>
              </w:rPr>
              <w:t>km</w:t>
            </w:r>
          </w:p>
        </w:tc>
        <w:tc>
          <w:tcPr>
            <w:tcW w:w="805" w:type="pct"/>
            <w:vAlign w:val="center"/>
          </w:tcPr>
          <w:p w14:paraId="77EFBCBA" w14:textId="2CE420CA" w:rsidR="007A39BF" w:rsidRPr="00227675" w:rsidRDefault="007A39BF" w:rsidP="007A39BF">
            <w:pPr>
              <w:jc w:val="right"/>
              <w:rPr>
                <w:color w:val="000000"/>
                <w:sz w:val="18"/>
                <w:szCs w:val="18"/>
                <w:lang w:val="es-CO" w:eastAsia="es-CO"/>
              </w:rPr>
            </w:pPr>
            <w:r w:rsidRPr="00227675">
              <w:rPr>
                <w:color w:val="000000"/>
                <w:sz w:val="18"/>
                <w:szCs w:val="18"/>
              </w:rPr>
              <w:t>278.678.311</w:t>
            </w:r>
          </w:p>
        </w:tc>
        <w:tc>
          <w:tcPr>
            <w:tcW w:w="805" w:type="pct"/>
            <w:vAlign w:val="center"/>
          </w:tcPr>
          <w:p w14:paraId="7DB36DF9" w14:textId="16A37753" w:rsidR="007A39BF" w:rsidRPr="00227675" w:rsidRDefault="007A39BF" w:rsidP="007A39BF">
            <w:pPr>
              <w:jc w:val="right"/>
              <w:rPr>
                <w:color w:val="000000"/>
                <w:sz w:val="18"/>
                <w:szCs w:val="18"/>
              </w:rPr>
            </w:pPr>
            <w:r w:rsidRPr="00227675">
              <w:rPr>
                <w:color w:val="000000"/>
                <w:sz w:val="18"/>
                <w:szCs w:val="18"/>
              </w:rPr>
              <w:t>180.759.646</w:t>
            </w:r>
          </w:p>
        </w:tc>
      </w:tr>
      <w:tr w:rsidR="007A39BF" w14:paraId="1F91B2D1" w14:textId="77A5A12F" w:rsidTr="001C4364">
        <w:tc>
          <w:tcPr>
            <w:tcW w:w="708" w:type="pct"/>
            <w:shd w:val="clear" w:color="auto" w:fill="auto"/>
          </w:tcPr>
          <w:p w14:paraId="4353B0E6" w14:textId="7ADDA7EB" w:rsidR="007A39BF" w:rsidRPr="001C4364" w:rsidRDefault="007A39BF" w:rsidP="007A39BF">
            <w:pPr>
              <w:rPr>
                <w:sz w:val="18"/>
                <w:szCs w:val="18"/>
                <w:lang w:val="es-ES_tradnl"/>
              </w:rPr>
            </w:pPr>
            <w:r w:rsidRPr="001C4364">
              <w:rPr>
                <w:sz w:val="18"/>
                <w:szCs w:val="18"/>
                <w:lang w:val="es-ES_tradnl"/>
              </w:rPr>
              <w:t>TPE1/2CO</w:t>
            </w:r>
          </w:p>
        </w:tc>
        <w:tc>
          <w:tcPr>
            <w:tcW w:w="2215" w:type="pct"/>
          </w:tcPr>
          <w:p w14:paraId="7CB634CD" w14:textId="46B897C8" w:rsidR="007A39BF" w:rsidRPr="0032167A" w:rsidRDefault="007A39BF" w:rsidP="007A39BF">
            <w:pPr>
              <w:rPr>
                <w:sz w:val="18"/>
                <w:szCs w:val="18"/>
                <w:lang w:val="es-ES_tradnl"/>
              </w:rPr>
            </w:pPr>
            <w:r w:rsidRPr="0032167A">
              <w:rPr>
                <w:sz w:val="18"/>
                <w:szCs w:val="18"/>
                <w:lang w:val="es-ES_tradnl"/>
              </w:rPr>
              <w:t>Canalización tuber</w:t>
            </w:r>
            <w:r>
              <w:rPr>
                <w:sz w:val="18"/>
                <w:szCs w:val="18"/>
                <w:lang w:val="es-ES_tradnl"/>
              </w:rPr>
              <w:t>ía de polietileno</w:t>
            </w:r>
            <w:r w:rsidRPr="0032167A">
              <w:rPr>
                <w:sz w:val="18"/>
                <w:szCs w:val="18"/>
                <w:lang w:val="es-ES_tradnl"/>
              </w:rPr>
              <w:t xml:space="preserve"> de </w:t>
            </w:r>
            <w:r>
              <w:rPr>
                <w:sz w:val="18"/>
                <w:szCs w:val="18"/>
                <w:lang w:val="es-ES_tradnl"/>
              </w:rPr>
              <w:t>1/</w:t>
            </w:r>
            <w:r w:rsidRPr="0032167A">
              <w:rPr>
                <w:sz w:val="18"/>
                <w:szCs w:val="18"/>
                <w:lang w:val="es-ES_tradnl"/>
              </w:rPr>
              <w:t>2”</w:t>
            </w:r>
            <w:r>
              <w:rPr>
                <w:sz w:val="18"/>
                <w:szCs w:val="18"/>
                <w:lang w:val="es-ES_tradnl"/>
              </w:rPr>
              <w:t xml:space="preserve"> en concreto</w:t>
            </w:r>
          </w:p>
        </w:tc>
        <w:tc>
          <w:tcPr>
            <w:tcW w:w="467" w:type="pct"/>
          </w:tcPr>
          <w:p w14:paraId="7514A716" w14:textId="4B056FE4" w:rsidR="007A39BF" w:rsidRPr="0032167A" w:rsidRDefault="007A39BF" w:rsidP="007A39BF">
            <w:pPr>
              <w:rPr>
                <w:sz w:val="18"/>
                <w:szCs w:val="18"/>
                <w:lang w:val="es-ES_tradnl"/>
              </w:rPr>
            </w:pPr>
            <w:r w:rsidRPr="0032167A">
              <w:rPr>
                <w:sz w:val="18"/>
                <w:szCs w:val="18"/>
                <w:lang w:val="es-ES_tradnl"/>
              </w:rPr>
              <w:t>km</w:t>
            </w:r>
          </w:p>
        </w:tc>
        <w:tc>
          <w:tcPr>
            <w:tcW w:w="805" w:type="pct"/>
            <w:vAlign w:val="center"/>
          </w:tcPr>
          <w:p w14:paraId="345AF8B2" w14:textId="11170609" w:rsidR="007A39BF" w:rsidRPr="00227675" w:rsidRDefault="007A39BF" w:rsidP="007A39BF">
            <w:pPr>
              <w:jc w:val="right"/>
              <w:rPr>
                <w:color w:val="000000"/>
                <w:sz w:val="18"/>
                <w:szCs w:val="18"/>
                <w:lang w:val="es-CO" w:eastAsia="es-CO"/>
              </w:rPr>
            </w:pPr>
            <w:r w:rsidRPr="00227675">
              <w:rPr>
                <w:color w:val="000000"/>
                <w:sz w:val="18"/>
                <w:szCs w:val="18"/>
              </w:rPr>
              <w:t>23.730.287</w:t>
            </w:r>
          </w:p>
        </w:tc>
        <w:tc>
          <w:tcPr>
            <w:tcW w:w="805" w:type="pct"/>
            <w:vAlign w:val="center"/>
          </w:tcPr>
          <w:p w14:paraId="50058C7E" w14:textId="26884BA6" w:rsidR="007A39BF" w:rsidRPr="00227675" w:rsidRDefault="0072229C" w:rsidP="007A39BF">
            <w:pPr>
              <w:jc w:val="right"/>
              <w:rPr>
                <w:sz w:val="18"/>
                <w:szCs w:val="18"/>
                <w:lang w:val="es-ES_tradnl"/>
              </w:rPr>
            </w:pPr>
            <w:r>
              <w:rPr>
                <w:sz w:val="18"/>
                <w:szCs w:val="18"/>
                <w:lang w:val="es-ES_tradnl"/>
              </w:rPr>
              <w:t>-</w:t>
            </w:r>
          </w:p>
        </w:tc>
      </w:tr>
      <w:tr w:rsidR="007A39BF" w14:paraId="09AA4280" w14:textId="417FADD6" w:rsidTr="001C4364">
        <w:tc>
          <w:tcPr>
            <w:tcW w:w="708" w:type="pct"/>
            <w:shd w:val="clear" w:color="auto" w:fill="auto"/>
          </w:tcPr>
          <w:p w14:paraId="262561C3" w14:textId="53D0D9ED" w:rsidR="007A39BF" w:rsidRPr="001C4364" w:rsidRDefault="007A39BF" w:rsidP="007A39BF">
            <w:pPr>
              <w:rPr>
                <w:sz w:val="18"/>
                <w:szCs w:val="18"/>
                <w:lang w:val="es-ES_tradnl"/>
              </w:rPr>
            </w:pPr>
            <w:r w:rsidRPr="001C4364">
              <w:rPr>
                <w:sz w:val="18"/>
                <w:szCs w:val="18"/>
                <w:lang w:val="es-ES_tradnl"/>
              </w:rPr>
              <w:t>TPE3/4CO</w:t>
            </w:r>
          </w:p>
        </w:tc>
        <w:tc>
          <w:tcPr>
            <w:tcW w:w="2215" w:type="pct"/>
          </w:tcPr>
          <w:p w14:paraId="03243768" w14:textId="5517AB9E" w:rsidR="007A39BF" w:rsidRPr="0032167A" w:rsidRDefault="007A39BF" w:rsidP="007A39BF">
            <w:pPr>
              <w:rPr>
                <w:sz w:val="18"/>
                <w:szCs w:val="18"/>
                <w:lang w:val="es-ES_tradnl"/>
              </w:rPr>
            </w:pPr>
            <w:r w:rsidRPr="0032167A">
              <w:rPr>
                <w:sz w:val="18"/>
                <w:szCs w:val="18"/>
                <w:lang w:val="es-ES_tradnl"/>
              </w:rPr>
              <w:t>Canalización tuber</w:t>
            </w:r>
            <w:r>
              <w:rPr>
                <w:sz w:val="18"/>
                <w:szCs w:val="18"/>
                <w:lang w:val="es-ES_tradnl"/>
              </w:rPr>
              <w:t>ía de polietileno</w:t>
            </w:r>
            <w:r w:rsidRPr="0032167A">
              <w:rPr>
                <w:sz w:val="18"/>
                <w:szCs w:val="18"/>
                <w:lang w:val="es-ES_tradnl"/>
              </w:rPr>
              <w:t xml:space="preserve"> de </w:t>
            </w:r>
            <w:r>
              <w:rPr>
                <w:sz w:val="18"/>
                <w:szCs w:val="18"/>
                <w:lang w:val="es-ES_tradnl"/>
              </w:rPr>
              <w:t>1/</w:t>
            </w:r>
            <w:r w:rsidRPr="0032167A">
              <w:rPr>
                <w:sz w:val="18"/>
                <w:szCs w:val="18"/>
                <w:lang w:val="es-ES_tradnl"/>
              </w:rPr>
              <w:t>2”</w:t>
            </w:r>
            <w:r>
              <w:rPr>
                <w:sz w:val="18"/>
                <w:szCs w:val="18"/>
                <w:lang w:val="es-ES_tradnl"/>
              </w:rPr>
              <w:t xml:space="preserve"> en concreto</w:t>
            </w:r>
          </w:p>
        </w:tc>
        <w:tc>
          <w:tcPr>
            <w:tcW w:w="467" w:type="pct"/>
          </w:tcPr>
          <w:p w14:paraId="1F6E41C9" w14:textId="4B98A6E8" w:rsidR="007A39BF" w:rsidRPr="0032167A" w:rsidRDefault="007A39BF" w:rsidP="007A39BF">
            <w:pPr>
              <w:rPr>
                <w:sz w:val="18"/>
                <w:szCs w:val="18"/>
                <w:lang w:val="es-ES_tradnl"/>
              </w:rPr>
            </w:pPr>
            <w:r w:rsidRPr="0032167A">
              <w:rPr>
                <w:sz w:val="18"/>
                <w:szCs w:val="18"/>
                <w:lang w:val="es-ES_tradnl"/>
              </w:rPr>
              <w:t>km</w:t>
            </w:r>
          </w:p>
        </w:tc>
        <w:tc>
          <w:tcPr>
            <w:tcW w:w="805" w:type="pct"/>
            <w:vAlign w:val="center"/>
          </w:tcPr>
          <w:p w14:paraId="63DE8DEB" w14:textId="4F4F0CF9" w:rsidR="007A39BF" w:rsidRPr="00227675" w:rsidRDefault="007A39BF" w:rsidP="007A39BF">
            <w:pPr>
              <w:jc w:val="right"/>
              <w:rPr>
                <w:color w:val="000000"/>
                <w:sz w:val="18"/>
                <w:szCs w:val="18"/>
                <w:lang w:val="es-CO" w:eastAsia="es-CO"/>
              </w:rPr>
            </w:pPr>
            <w:r w:rsidRPr="00227675">
              <w:rPr>
                <w:color w:val="000000"/>
                <w:sz w:val="18"/>
                <w:szCs w:val="18"/>
              </w:rPr>
              <w:t>23.730.287</w:t>
            </w:r>
          </w:p>
        </w:tc>
        <w:tc>
          <w:tcPr>
            <w:tcW w:w="805" w:type="pct"/>
            <w:vAlign w:val="center"/>
          </w:tcPr>
          <w:p w14:paraId="0DC7E0D4" w14:textId="207A067D" w:rsidR="007A39BF" w:rsidRPr="00227675" w:rsidRDefault="0072229C" w:rsidP="007A39BF">
            <w:pPr>
              <w:jc w:val="right"/>
              <w:rPr>
                <w:sz w:val="18"/>
                <w:szCs w:val="18"/>
                <w:lang w:val="es-ES_tradnl"/>
              </w:rPr>
            </w:pPr>
            <w:r>
              <w:rPr>
                <w:sz w:val="18"/>
                <w:szCs w:val="18"/>
                <w:lang w:val="es-ES_tradnl"/>
              </w:rPr>
              <w:t>-</w:t>
            </w:r>
          </w:p>
        </w:tc>
      </w:tr>
      <w:tr w:rsidR="007A39BF" w14:paraId="7A12B36C" w14:textId="23BD2BE5" w:rsidTr="001C4364">
        <w:tc>
          <w:tcPr>
            <w:tcW w:w="708" w:type="pct"/>
            <w:shd w:val="clear" w:color="auto" w:fill="auto"/>
          </w:tcPr>
          <w:p w14:paraId="3F868EB0" w14:textId="25E90854" w:rsidR="007A39BF" w:rsidRPr="001C4364" w:rsidRDefault="007A39BF" w:rsidP="007A39BF">
            <w:pPr>
              <w:rPr>
                <w:sz w:val="18"/>
                <w:szCs w:val="18"/>
                <w:lang w:val="es-ES_tradnl"/>
              </w:rPr>
            </w:pPr>
            <w:r w:rsidRPr="001C4364">
              <w:rPr>
                <w:sz w:val="18"/>
                <w:szCs w:val="18"/>
                <w:lang w:val="es-ES_tradnl"/>
              </w:rPr>
              <w:t>TPE2AS</w:t>
            </w:r>
          </w:p>
        </w:tc>
        <w:tc>
          <w:tcPr>
            <w:tcW w:w="2215" w:type="pct"/>
          </w:tcPr>
          <w:p w14:paraId="281CBE65" w14:textId="7D58FF44" w:rsidR="007A39BF" w:rsidRPr="0032167A" w:rsidRDefault="007A39BF" w:rsidP="007A39BF">
            <w:pPr>
              <w:rPr>
                <w:sz w:val="18"/>
                <w:szCs w:val="18"/>
                <w:lang w:val="es-ES_tradnl"/>
              </w:rPr>
            </w:pPr>
            <w:r w:rsidRPr="0032167A">
              <w:rPr>
                <w:sz w:val="18"/>
                <w:szCs w:val="18"/>
                <w:lang w:val="es-ES_tradnl"/>
              </w:rPr>
              <w:t>Canalización tuber</w:t>
            </w:r>
            <w:r>
              <w:rPr>
                <w:sz w:val="18"/>
                <w:szCs w:val="18"/>
                <w:lang w:val="es-ES_tradnl"/>
              </w:rPr>
              <w:t>ía de polietileno</w:t>
            </w:r>
            <w:r w:rsidRPr="0032167A">
              <w:rPr>
                <w:sz w:val="18"/>
                <w:szCs w:val="18"/>
                <w:lang w:val="es-ES_tradnl"/>
              </w:rPr>
              <w:t xml:space="preserve"> de 2”</w:t>
            </w:r>
            <w:r>
              <w:rPr>
                <w:sz w:val="18"/>
                <w:szCs w:val="18"/>
                <w:lang w:val="es-ES_tradnl"/>
              </w:rPr>
              <w:t xml:space="preserve"> en asfalto</w:t>
            </w:r>
          </w:p>
        </w:tc>
        <w:tc>
          <w:tcPr>
            <w:tcW w:w="467" w:type="pct"/>
          </w:tcPr>
          <w:p w14:paraId="71C0F4F7" w14:textId="6590AA06" w:rsidR="007A39BF" w:rsidRPr="0032167A" w:rsidRDefault="007A39BF" w:rsidP="007A39BF">
            <w:pPr>
              <w:rPr>
                <w:sz w:val="18"/>
                <w:szCs w:val="18"/>
                <w:lang w:val="es-ES_tradnl"/>
              </w:rPr>
            </w:pPr>
            <w:r w:rsidRPr="0032167A">
              <w:rPr>
                <w:sz w:val="18"/>
                <w:szCs w:val="18"/>
                <w:lang w:val="es-ES_tradnl"/>
              </w:rPr>
              <w:t>km</w:t>
            </w:r>
          </w:p>
        </w:tc>
        <w:tc>
          <w:tcPr>
            <w:tcW w:w="805" w:type="pct"/>
            <w:vAlign w:val="center"/>
          </w:tcPr>
          <w:p w14:paraId="1282A47D" w14:textId="413B1A18" w:rsidR="007A39BF" w:rsidRPr="00227675" w:rsidRDefault="007A39BF" w:rsidP="007A39BF">
            <w:pPr>
              <w:jc w:val="right"/>
              <w:rPr>
                <w:color w:val="000000"/>
                <w:sz w:val="18"/>
                <w:szCs w:val="18"/>
                <w:lang w:val="es-CO" w:eastAsia="es-CO"/>
              </w:rPr>
            </w:pPr>
            <w:r w:rsidRPr="00227675">
              <w:rPr>
                <w:color w:val="000000"/>
                <w:sz w:val="18"/>
                <w:szCs w:val="18"/>
              </w:rPr>
              <w:t>54.240.655</w:t>
            </w:r>
          </w:p>
        </w:tc>
        <w:tc>
          <w:tcPr>
            <w:tcW w:w="805" w:type="pct"/>
            <w:vAlign w:val="center"/>
          </w:tcPr>
          <w:p w14:paraId="01D6C5B2" w14:textId="2385F8CB" w:rsidR="007A39BF" w:rsidRPr="00227675" w:rsidRDefault="0072229C" w:rsidP="007A39BF">
            <w:pPr>
              <w:jc w:val="right"/>
              <w:rPr>
                <w:sz w:val="18"/>
                <w:szCs w:val="18"/>
                <w:lang w:val="es-ES_tradnl"/>
              </w:rPr>
            </w:pPr>
            <w:r>
              <w:rPr>
                <w:sz w:val="18"/>
                <w:szCs w:val="18"/>
                <w:lang w:val="es-ES_tradnl"/>
              </w:rPr>
              <w:t>-</w:t>
            </w:r>
          </w:p>
        </w:tc>
      </w:tr>
      <w:tr w:rsidR="007A39BF" w14:paraId="3A13700D" w14:textId="45EFE813" w:rsidTr="001C4364">
        <w:tc>
          <w:tcPr>
            <w:tcW w:w="708" w:type="pct"/>
            <w:shd w:val="clear" w:color="auto" w:fill="auto"/>
          </w:tcPr>
          <w:p w14:paraId="54FCD998" w14:textId="2E6696D8" w:rsidR="007A39BF" w:rsidRPr="001C4364" w:rsidRDefault="007A39BF" w:rsidP="007A39BF">
            <w:pPr>
              <w:rPr>
                <w:sz w:val="18"/>
                <w:szCs w:val="18"/>
                <w:lang w:val="es-ES_tradnl"/>
              </w:rPr>
            </w:pPr>
            <w:r w:rsidRPr="001C4364">
              <w:rPr>
                <w:sz w:val="18"/>
                <w:szCs w:val="18"/>
                <w:lang w:val="es-ES_tradnl"/>
              </w:rPr>
              <w:t>TPE3AS</w:t>
            </w:r>
          </w:p>
        </w:tc>
        <w:tc>
          <w:tcPr>
            <w:tcW w:w="2215" w:type="pct"/>
          </w:tcPr>
          <w:p w14:paraId="03348679" w14:textId="392D7BA9" w:rsidR="007A39BF" w:rsidRPr="0032167A" w:rsidRDefault="007A39BF" w:rsidP="007A39BF">
            <w:pPr>
              <w:rPr>
                <w:sz w:val="18"/>
                <w:szCs w:val="18"/>
                <w:lang w:val="es-ES_tradnl"/>
              </w:rPr>
            </w:pPr>
            <w:r w:rsidRPr="0032167A">
              <w:rPr>
                <w:sz w:val="18"/>
                <w:szCs w:val="18"/>
                <w:lang w:val="es-ES_tradnl"/>
              </w:rPr>
              <w:t>Canalización tuber</w:t>
            </w:r>
            <w:r>
              <w:rPr>
                <w:sz w:val="18"/>
                <w:szCs w:val="18"/>
                <w:lang w:val="es-ES_tradnl"/>
              </w:rPr>
              <w:t>ía de polietileno de 3</w:t>
            </w:r>
            <w:r w:rsidRPr="0032167A">
              <w:rPr>
                <w:sz w:val="18"/>
                <w:szCs w:val="18"/>
                <w:lang w:val="es-ES_tradnl"/>
              </w:rPr>
              <w:t>”</w:t>
            </w:r>
            <w:r>
              <w:rPr>
                <w:sz w:val="18"/>
                <w:szCs w:val="18"/>
                <w:lang w:val="es-ES_tradnl"/>
              </w:rPr>
              <w:t xml:space="preserve"> en asfalto</w:t>
            </w:r>
          </w:p>
        </w:tc>
        <w:tc>
          <w:tcPr>
            <w:tcW w:w="467" w:type="pct"/>
          </w:tcPr>
          <w:p w14:paraId="111772CD" w14:textId="25D7631E" w:rsidR="007A39BF" w:rsidRPr="0032167A" w:rsidRDefault="007A39BF" w:rsidP="007A39BF">
            <w:pPr>
              <w:rPr>
                <w:sz w:val="18"/>
                <w:szCs w:val="18"/>
                <w:lang w:val="es-ES_tradnl"/>
              </w:rPr>
            </w:pPr>
            <w:r w:rsidRPr="0032167A">
              <w:rPr>
                <w:sz w:val="18"/>
                <w:szCs w:val="18"/>
                <w:lang w:val="es-ES_tradnl"/>
              </w:rPr>
              <w:t>km</w:t>
            </w:r>
          </w:p>
        </w:tc>
        <w:tc>
          <w:tcPr>
            <w:tcW w:w="805" w:type="pct"/>
            <w:vAlign w:val="center"/>
          </w:tcPr>
          <w:p w14:paraId="4B9BE7B5" w14:textId="1547B065" w:rsidR="007A39BF" w:rsidRPr="00227675" w:rsidRDefault="007A39BF" w:rsidP="007A39BF">
            <w:pPr>
              <w:jc w:val="right"/>
              <w:rPr>
                <w:color w:val="000000"/>
                <w:sz w:val="18"/>
                <w:szCs w:val="18"/>
                <w:lang w:val="es-CO" w:eastAsia="es-CO"/>
              </w:rPr>
            </w:pPr>
            <w:r w:rsidRPr="00227675">
              <w:rPr>
                <w:color w:val="000000"/>
                <w:sz w:val="18"/>
                <w:szCs w:val="18"/>
              </w:rPr>
              <w:t>54.240.655</w:t>
            </w:r>
          </w:p>
        </w:tc>
        <w:tc>
          <w:tcPr>
            <w:tcW w:w="805" w:type="pct"/>
            <w:vAlign w:val="center"/>
          </w:tcPr>
          <w:p w14:paraId="4E7DAF0F" w14:textId="54374B31" w:rsidR="007A39BF" w:rsidRPr="00227675" w:rsidRDefault="0072229C" w:rsidP="007A39BF">
            <w:pPr>
              <w:jc w:val="right"/>
              <w:rPr>
                <w:sz w:val="18"/>
                <w:szCs w:val="18"/>
                <w:lang w:val="es-ES_tradnl"/>
              </w:rPr>
            </w:pPr>
            <w:r>
              <w:rPr>
                <w:sz w:val="18"/>
                <w:szCs w:val="18"/>
                <w:lang w:val="es-ES_tradnl"/>
              </w:rPr>
              <w:t>-</w:t>
            </w:r>
          </w:p>
        </w:tc>
      </w:tr>
      <w:tr w:rsidR="007A39BF" w14:paraId="58BDC950" w14:textId="62D7493D" w:rsidTr="001C4364">
        <w:tc>
          <w:tcPr>
            <w:tcW w:w="708" w:type="pct"/>
            <w:shd w:val="clear" w:color="auto" w:fill="auto"/>
          </w:tcPr>
          <w:p w14:paraId="176E3C9A" w14:textId="7365E0F0" w:rsidR="007A39BF" w:rsidRPr="001C4364" w:rsidRDefault="007A39BF" w:rsidP="007A39BF">
            <w:pPr>
              <w:rPr>
                <w:sz w:val="18"/>
                <w:szCs w:val="18"/>
                <w:lang w:val="es-ES_tradnl"/>
              </w:rPr>
            </w:pPr>
            <w:r w:rsidRPr="001C4364">
              <w:rPr>
                <w:sz w:val="18"/>
                <w:szCs w:val="18"/>
                <w:lang w:val="es-ES_tradnl"/>
              </w:rPr>
              <w:t>TPE4AS</w:t>
            </w:r>
          </w:p>
        </w:tc>
        <w:tc>
          <w:tcPr>
            <w:tcW w:w="2215" w:type="pct"/>
          </w:tcPr>
          <w:p w14:paraId="7B179DAF" w14:textId="47D11F45" w:rsidR="007A39BF" w:rsidRPr="0032167A" w:rsidRDefault="007A39BF" w:rsidP="007A39BF">
            <w:pPr>
              <w:rPr>
                <w:sz w:val="18"/>
                <w:szCs w:val="18"/>
                <w:lang w:val="es-ES_tradnl"/>
              </w:rPr>
            </w:pPr>
            <w:r w:rsidRPr="0032167A">
              <w:rPr>
                <w:sz w:val="18"/>
                <w:szCs w:val="18"/>
                <w:lang w:val="es-ES_tradnl"/>
              </w:rPr>
              <w:t>Canalización tuber</w:t>
            </w:r>
            <w:r>
              <w:rPr>
                <w:sz w:val="18"/>
                <w:szCs w:val="18"/>
                <w:lang w:val="es-ES_tradnl"/>
              </w:rPr>
              <w:t>ía de polietileno de 4</w:t>
            </w:r>
            <w:r w:rsidRPr="0032167A">
              <w:rPr>
                <w:sz w:val="18"/>
                <w:szCs w:val="18"/>
                <w:lang w:val="es-ES_tradnl"/>
              </w:rPr>
              <w:t>”</w:t>
            </w:r>
            <w:r>
              <w:rPr>
                <w:sz w:val="18"/>
                <w:szCs w:val="18"/>
                <w:lang w:val="es-ES_tradnl"/>
              </w:rPr>
              <w:t xml:space="preserve"> en asfalto</w:t>
            </w:r>
          </w:p>
        </w:tc>
        <w:tc>
          <w:tcPr>
            <w:tcW w:w="467" w:type="pct"/>
          </w:tcPr>
          <w:p w14:paraId="54093630" w14:textId="39A152A6" w:rsidR="007A39BF" w:rsidRPr="0032167A" w:rsidRDefault="007A39BF" w:rsidP="007A39BF">
            <w:pPr>
              <w:rPr>
                <w:sz w:val="18"/>
                <w:szCs w:val="18"/>
                <w:lang w:val="es-ES_tradnl"/>
              </w:rPr>
            </w:pPr>
            <w:r w:rsidRPr="0032167A">
              <w:rPr>
                <w:sz w:val="18"/>
                <w:szCs w:val="18"/>
                <w:lang w:val="es-ES_tradnl"/>
              </w:rPr>
              <w:t>km</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14:paraId="0070B3C5" w14:textId="1BD85068" w:rsidR="007A39BF" w:rsidRPr="00227675" w:rsidRDefault="007A39BF" w:rsidP="007A39BF">
            <w:pPr>
              <w:jc w:val="right"/>
              <w:rPr>
                <w:sz w:val="18"/>
                <w:szCs w:val="18"/>
                <w:lang w:val="es-ES_tradnl"/>
              </w:rPr>
            </w:pPr>
            <w:r w:rsidRPr="00227675">
              <w:rPr>
                <w:color w:val="000000"/>
                <w:sz w:val="18"/>
                <w:szCs w:val="18"/>
              </w:rPr>
              <w:t>54.240.655</w:t>
            </w:r>
          </w:p>
        </w:tc>
        <w:tc>
          <w:tcPr>
            <w:tcW w:w="805" w:type="pct"/>
            <w:vAlign w:val="center"/>
          </w:tcPr>
          <w:p w14:paraId="2B78AA0B" w14:textId="6FDA11EE" w:rsidR="007A39BF" w:rsidRPr="00227675" w:rsidRDefault="0072229C" w:rsidP="007A39BF">
            <w:pPr>
              <w:jc w:val="right"/>
              <w:rPr>
                <w:sz w:val="18"/>
                <w:szCs w:val="18"/>
                <w:lang w:val="es-ES_tradnl"/>
              </w:rPr>
            </w:pPr>
            <w:r>
              <w:rPr>
                <w:sz w:val="18"/>
                <w:szCs w:val="18"/>
                <w:lang w:val="es-ES_tradnl"/>
              </w:rPr>
              <w:t>-</w:t>
            </w:r>
          </w:p>
        </w:tc>
      </w:tr>
      <w:tr w:rsidR="007A39BF" w14:paraId="5F299188" w14:textId="595F2BA7" w:rsidTr="001C4364">
        <w:tc>
          <w:tcPr>
            <w:tcW w:w="708" w:type="pct"/>
            <w:shd w:val="clear" w:color="auto" w:fill="auto"/>
          </w:tcPr>
          <w:p w14:paraId="3729130D" w14:textId="278CDB51" w:rsidR="007A39BF" w:rsidRPr="001C4364" w:rsidRDefault="007A39BF" w:rsidP="007A39BF">
            <w:pPr>
              <w:rPr>
                <w:sz w:val="18"/>
                <w:szCs w:val="18"/>
                <w:lang w:val="es-ES_tradnl"/>
              </w:rPr>
            </w:pPr>
            <w:r w:rsidRPr="001C4364">
              <w:rPr>
                <w:sz w:val="18"/>
                <w:szCs w:val="18"/>
                <w:lang w:val="es-ES_tradnl"/>
              </w:rPr>
              <w:t>ERP 8T1</w:t>
            </w:r>
          </w:p>
        </w:tc>
        <w:tc>
          <w:tcPr>
            <w:tcW w:w="2215" w:type="pct"/>
          </w:tcPr>
          <w:p w14:paraId="3DCC98AA" w14:textId="436FB98E" w:rsidR="007A39BF" w:rsidRPr="0032167A" w:rsidRDefault="007A39BF" w:rsidP="007A39BF">
            <w:pPr>
              <w:rPr>
                <w:sz w:val="18"/>
                <w:szCs w:val="18"/>
                <w:lang w:val="es-ES_tradnl"/>
              </w:rPr>
            </w:pPr>
            <w:r>
              <w:rPr>
                <w:sz w:val="18"/>
                <w:szCs w:val="18"/>
                <w:lang w:val="es-ES_tradnl"/>
              </w:rPr>
              <w:t>Estación de regulación de presión de 8000 SCMH tren sencillo con medidor</w:t>
            </w:r>
          </w:p>
        </w:tc>
        <w:tc>
          <w:tcPr>
            <w:tcW w:w="467" w:type="pct"/>
          </w:tcPr>
          <w:p w14:paraId="6D097B69" w14:textId="5A1D0375" w:rsidR="007A39BF" w:rsidRPr="0032167A" w:rsidRDefault="007A39BF" w:rsidP="007A39BF">
            <w:pPr>
              <w:rPr>
                <w:sz w:val="18"/>
                <w:szCs w:val="18"/>
                <w:lang w:val="es-ES_tradnl"/>
              </w:rPr>
            </w:pPr>
            <w:r w:rsidRPr="0032167A">
              <w:rPr>
                <w:sz w:val="18"/>
                <w:szCs w:val="18"/>
                <w:lang w:val="es-ES_tradnl"/>
              </w:rPr>
              <w:t>Unidad</w:t>
            </w:r>
          </w:p>
        </w:tc>
        <w:tc>
          <w:tcPr>
            <w:tcW w:w="805" w:type="pct"/>
            <w:tcBorders>
              <w:top w:val="nil"/>
              <w:left w:val="single" w:sz="4" w:space="0" w:color="auto"/>
              <w:bottom w:val="single" w:sz="4" w:space="0" w:color="auto"/>
              <w:right w:val="single" w:sz="4" w:space="0" w:color="auto"/>
            </w:tcBorders>
            <w:shd w:val="clear" w:color="auto" w:fill="auto"/>
            <w:vAlign w:val="center"/>
          </w:tcPr>
          <w:p w14:paraId="1FD05A31" w14:textId="71339DEC" w:rsidR="007A39BF" w:rsidRPr="00227675" w:rsidRDefault="007A39BF" w:rsidP="007A39BF">
            <w:pPr>
              <w:jc w:val="right"/>
              <w:rPr>
                <w:sz w:val="18"/>
                <w:szCs w:val="18"/>
                <w:lang w:val="es-ES_tradnl"/>
              </w:rPr>
            </w:pPr>
            <w:r w:rsidRPr="00227675">
              <w:rPr>
                <w:color w:val="000000"/>
                <w:sz w:val="18"/>
                <w:szCs w:val="18"/>
              </w:rPr>
              <w:t>174.455.857</w:t>
            </w:r>
          </w:p>
        </w:tc>
        <w:tc>
          <w:tcPr>
            <w:tcW w:w="805" w:type="pct"/>
            <w:vAlign w:val="center"/>
          </w:tcPr>
          <w:p w14:paraId="153B9EB7" w14:textId="1C8E4EE2" w:rsidR="007A39BF" w:rsidRPr="00227675" w:rsidRDefault="0072229C" w:rsidP="007A39BF">
            <w:pPr>
              <w:jc w:val="right"/>
              <w:rPr>
                <w:sz w:val="18"/>
                <w:szCs w:val="18"/>
                <w:lang w:val="es-ES_tradnl"/>
              </w:rPr>
            </w:pPr>
            <w:r>
              <w:rPr>
                <w:sz w:val="18"/>
                <w:szCs w:val="18"/>
                <w:lang w:val="es-ES_tradnl"/>
              </w:rPr>
              <w:t>-</w:t>
            </w:r>
          </w:p>
        </w:tc>
      </w:tr>
    </w:tbl>
    <w:p w14:paraId="0D3ED5AB" w14:textId="10A6CE53" w:rsidR="004C7871" w:rsidRDefault="004C7871" w:rsidP="004C7871">
      <w:pPr>
        <w:spacing w:before="240" w:after="240"/>
        <w:rPr>
          <w:lang w:val="es-ES_tradnl"/>
        </w:rPr>
      </w:pPr>
      <w:r>
        <w:rPr>
          <w:lang w:val="es-ES_tradnl"/>
        </w:rPr>
        <w:t>De igual forma, los numerales 4 y 20 del Anexo 5 de la misma resolución se disponen las cantidades de unidades constructivas reconocidas como Inversión Existente de las empresas GASES DEL CARIBE S.A. y PROMIGAS S.A. E.S.P.</w:t>
      </w:r>
      <w:r w:rsidR="00BE7331">
        <w:rPr>
          <w:lang w:val="es-ES_tradnl"/>
        </w:rPr>
        <w:t xml:space="preserve"> respectivamente. En el Cuadro 5</w:t>
      </w:r>
      <w:r>
        <w:rPr>
          <w:lang w:val="es-ES_tradnl"/>
        </w:rPr>
        <w:t xml:space="preserve"> se muestran dichas cantidades </w:t>
      </w:r>
      <w:r w:rsidR="00E72C0A">
        <w:rPr>
          <w:lang w:val="es-ES_tradnl"/>
        </w:rPr>
        <w:t xml:space="preserve">para las unidades constructivas para las cuales la empresa GASES DEL CARIBE S.A. E.S.P. manifiesta que existen diferencias y </w:t>
      </w:r>
      <w:r>
        <w:rPr>
          <w:lang w:val="es-ES_tradnl"/>
        </w:rPr>
        <w:t xml:space="preserve">para los municipios objeto del recurso, los cuales corresponden a Barranquilla y </w:t>
      </w:r>
      <w:proofErr w:type="spellStart"/>
      <w:r>
        <w:rPr>
          <w:lang w:val="es-ES_tradnl"/>
        </w:rPr>
        <w:t>Baranoa</w:t>
      </w:r>
      <w:proofErr w:type="spellEnd"/>
      <w:r>
        <w:rPr>
          <w:lang w:val="es-ES_tradnl"/>
        </w:rPr>
        <w:t xml:space="preserve"> en el departamento de Atlántico; y Valledupar y La Paz en el departamento de Cesar.</w:t>
      </w:r>
    </w:p>
    <w:p w14:paraId="57E83712" w14:textId="3F91EA87" w:rsidR="005431A6" w:rsidRPr="0032167A" w:rsidRDefault="005431A6" w:rsidP="005431A6">
      <w:pPr>
        <w:keepNext/>
        <w:spacing w:before="240" w:after="120"/>
        <w:jc w:val="center"/>
        <w:rPr>
          <w:b/>
          <w:lang w:val="es-ES_tradnl"/>
        </w:rPr>
      </w:pPr>
      <w:r w:rsidRPr="0032167A">
        <w:rPr>
          <w:b/>
          <w:lang w:val="es-ES_tradnl"/>
        </w:rPr>
        <w:t xml:space="preserve">Cuadro </w:t>
      </w:r>
      <w:r w:rsidR="00BE7331">
        <w:rPr>
          <w:b/>
          <w:lang w:val="es-ES_tradnl"/>
        </w:rPr>
        <w:t>5</w:t>
      </w:r>
      <w:r w:rsidRPr="0032167A">
        <w:rPr>
          <w:b/>
          <w:lang w:val="es-ES_tradnl"/>
        </w:rPr>
        <w:t>.</w:t>
      </w:r>
    </w:p>
    <w:tbl>
      <w:tblPr>
        <w:tblStyle w:val="Tablaconcuadrcula"/>
        <w:tblW w:w="5000" w:type="pct"/>
        <w:tblLook w:val="04A0" w:firstRow="1" w:lastRow="0" w:firstColumn="1" w:lastColumn="0" w:noHBand="0" w:noVBand="1"/>
      </w:tblPr>
      <w:tblGrid>
        <w:gridCol w:w="1273"/>
        <w:gridCol w:w="994"/>
        <w:gridCol w:w="1417"/>
        <w:gridCol w:w="1417"/>
        <w:gridCol w:w="1417"/>
        <w:gridCol w:w="1417"/>
        <w:gridCol w:w="1411"/>
      </w:tblGrid>
      <w:tr w:rsidR="001C4364" w14:paraId="03DFC231" w14:textId="77777777" w:rsidTr="001C4364">
        <w:trPr>
          <w:tblHeader/>
        </w:trPr>
        <w:tc>
          <w:tcPr>
            <w:tcW w:w="681" w:type="pct"/>
            <w:vMerge w:val="restart"/>
            <w:shd w:val="clear" w:color="auto" w:fill="D9D9D9" w:themeFill="background1" w:themeFillShade="D9"/>
            <w:vAlign w:val="center"/>
          </w:tcPr>
          <w:p w14:paraId="02958B6E" w14:textId="77777777" w:rsidR="001C4364" w:rsidRPr="003C1B25" w:rsidRDefault="001C4364" w:rsidP="005431A6">
            <w:pPr>
              <w:jc w:val="center"/>
              <w:rPr>
                <w:b/>
                <w:sz w:val="18"/>
                <w:szCs w:val="18"/>
                <w:lang w:val="es-ES_tradnl"/>
              </w:rPr>
            </w:pPr>
            <w:r w:rsidRPr="003C1B25">
              <w:rPr>
                <w:b/>
                <w:sz w:val="18"/>
                <w:szCs w:val="18"/>
                <w:lang w:val="es-ES_tradnl"/>
              </w:rPr>
              <w:t>Código UC</w:t>
            </w:r>
          </w:p>
        </w:tc>
        <w:tc>
          <w:tcPr>
            <w:tcW w:w="532" w:type="pct"/>
            <w:vMerge w:val="restart"/>
            <w:shd w:val="clear" w:color="auto" w:fill="D9D9D9" w:themeFill="background1" w:themeFillShade="D9"/>
            <w:vAlign w:val="center"/>
          </w:tcPr>
          <w:p w14:paraId="6B67CB21" w14:textId="77777777" w:rsidR="001C4364" w:rsidRPr="003C1B25" w:rsidRDefault="001C4364" w:rsidP="005431A6">
            <w:pPr>
              <w:jc w:val="center"/>
              <w:rPr>
                <w:b/>
                <w:sz w:val="18"/>
                <w:szCs w:val="18"/>
                <w:lang w:val="es-ES_tradnl"/>
              </w:rPr>
            </w:pPr>
            <w:r w:rsidRPr="003C1B25">
              <w:rPr>
                <w:b/>
                <w:sz w:val="18"/>
                <w:szCs w:val="18"/>
                <w:lang w:val="es-ES_tradnl"/>
              </w:rPr>
              <w:t>Unidad</w:t>
            </w:r>
          </w:p>
        </w:tc>
        <w:tc>
          <w:tcPr>
            <w:tcW w:w="3032" w:type="pct"/>
            <w:gridSpan w:val="4"/>
            <w:shd w:val="clear" w:color="auto" w:fill="D9D9D9" w:themeFill="background1" w:themeFillShade="D9"/>
            <w:vAlign w:val="center"/>
          </w:tcPr>
          <w:p w14:paraId="603BC030" w14:textId="28592BD6" w:rsidR="001C4364" w:rsidRDefault="001C4364" w:rsidP="005431A6">
            <w:pPr>
              <w:jc w:val="center"/>
              <w:rPr>
                <w:b/>
                <w:sz w:val="18"/>
                <w:szCs w:val="18"/>
                <w:lang w:val="es-ES_tradnl"/>
              </w:rPr>
            </w:pPr>
            <w:r w:rsidRPr="003C1B25">
              <w:rPr>
                <w:b/>
                <w:sz w:val="18"/>
                <w:szCs w:val="18"/>
                <w:lang w:val="es-ES_tradnl"/>
              </w:rPr>
              <w:t>GASES DEL CARIBE S.A. E.S.P.</w:t>
            </w:r>
          </w:p>
        </w:tc>
        <w:tc>
          <w:tcPr>
            <w:tcW w:w="755" w:type="pct"/>
            <w:vMerge w:val="restart"/>
            <w:shd w:val="clear" w:color="auto" w:fill="D9D9D9" w:themeFill="background1" w:themeFillShade="D9"/>
            <w:vAlign w:val="center"/>
          </w:tcPr>
          <w:p w14:paraId="07E8AA73" w14:textId="5F31B11F" w:rsidR="001C4364" w:rsidRDefault="001C4364" w:rsidP="005431A6">
            <w:pPr>
              <w:jc w:val="center"/>
              <w:rPr>
                <w:b/>
                <w:sz w:val="18"/>
                <w:szCs w:val="18"/>
                <w:lang w:val="es-ES_tradnl"/>
              </w:rPr>
            </w:pPr>
            <w:r w:rsidRPr="003C1B25">
              <w:rPr>
                <w:b/>
                <w:sz w:val="18"/>
                <w:szCs w:val="18"/>
                <w:lang w:val="es-ES_tradnl"/>
              </w:rPr>
              <w:t>PROMIGAS S.A. E.S.P.</w:t>
            </w:r>
          </w:p>
        </w:tc>
      </w:tr>
      <w:tr w:rsidR="001C4364" w14:paraId="57C6CA80" w14:textId="77777777" w:rsidTr="001C4364">
        <w:trPr>
          <w:tblHeader/>
        </w:trPr>
        <w:tc>
          <w:tcPr>
            <w:tcW w:w="681" w:type="pct"/>
            <w:vMerge/>
            <w:shd w:val="clear" w:color="auto" w:fill="D9D9D9" w:themeFill="background1" w:themeFillShade="D9"/>
            <w:vAlign w:val="center"/>
          </w:tcPr>
          <w:p w14:paraId="3A297F0F" w14:textId="77777777" w:rsidR="001C4364" w:rsidRPr="003C1B25" w:rsidRDefault="001C4364" w:rsidP="005431A6">
            <w:pPr>
              <w:jc w:val="center"/>
              <w:rPr>
                <w:b/>
                <w:sz w:val="18"/>
                <w:szCs w:val="18"/>
                <w:lang w:val="es-ES_tradnl"/>
              </w:rPr>
            </w:pPr>
          </w:p>
        </w:tc>
        <w:tc>
          <w:tcPr>
            <w:tcW w:w="532" w:type="pct"/>
            <w:vMerge/>
            <w:shd w:val="clear" w:color="auto" w:fill="D9D9D9" w:themeFill="background1" w:themeFillShade="D9"/>
            <w:vAlign w:val="center"/>
          </w:tcPr>
          <w:p w14:paraId="39F847B2" w14:textId="77777777" w:rsidR="001C4364" w:rsidRPr="003C1B25" w:rsidRDefault="001C4364" w:rsidP="005431A6">
            <w:pPr>
              <w:jc w:val="center"/>
              <w:rPr>
                <w:b/>
                <w:sz w:val="18"/>
                <w:szCs w:val="18"/>
                <w:lang w:val="es-ES_tradnl"/>
              </w:rPr>
            </w:pPr>
          </w:p>
        </w:tc>
        <w:tc>
          <w:tcPr>
            <w:tcW w:w="758" w:type="pct"/>
            <w:shd w:val="clear" w:color="auto" w:fill="D9D9D9" w:themeFill="background1" w:themeFillShade="D9"/>
            <w:vAlign w:val="center"/>
          </w:tcPr>
          <w:p w14:paraId="26978021" w14:textId="44EBF2CE" w:rsidR="001C4364" w:rsidRPr="003C1B25" w:rsidRDefault="001C4364" w:rsidP="005431A6">
            <w:pPr>
              <w:jc w:val="center"/>
              <w:rPr>
                <w:b/>
                <w:sz w:val="18"/>
                <w:szCs w:val="18"/>
                <w:lang w:val="es-ES_tradnl"/>
              </w:rPr>
            </w:pPr>
            <w:r>
              <w:rPr>
                <w:b/>
                <w:sz w:val="18"/>
                <w:szCs w:val="18"/>
                <w:lang w:val="es-ES_tradnl"/>
              </w:rPr>
              <w:t>Barranquilla</w:t>
            </w:r>
          </w:p>
        </w:tc>
        <w:tc>
          <w:tcPr>
            <w:tcW w:w="758" w:type="pct"/>
            <w:shd w:val="clear" w:color="auto" w:fill="D9D9D9" w:themeFill="background1" w:themeFillShade="D9"/>
            <w:vAlign w:val="center"/>
          </w:tcPr>
          <w:p w14:paraId="1D1B3DD1" w14:textId="23EDBB3E" w:rsidR="001C4364" w:rsidRPr="003C1B25" w:rsidRDefault="001C4364" w:rsidP="005431A6">
            <w:pPr>
              <w:jc w:val="center"/>
              <w:rPr>
                <w:b/>
                <w:sz w:val="18"/>
                <w:szCs w:val="18"/>
                <w:lang w:val="es-ES_tradnl"/>
              </w:rPr>
            </w:pPr>
            <w:proofErr w:type="spellStart"/>
            <w:r>
              <w:rPr>
                <w:b/>
                <w:sz w:val="18"/>
                <w:szCs w:val="18"/>
                <w:lang w:val="es-ES_tradnl"/>
              </w:rPr>
              <w:t>Baranoa</w:t>
            </w:r>
            <w:proofErr w:type="spellEnd"/>
          </w:p>
        </w:tc>
        <w:tc>
          <w:tcPr>
            <w:tcW w:w="758" w:type="pct"/>
            <w:shd w:val="clear" w:color="auto" w:fill="D9D9D9" w:themeFill="background1" w:themeFillShade="D9"/>
            <w:vAlign w:val="center"/>
          </w:tcPr>
          <w:p w14:paraId="391F4DDF" w14:textId="288D1417" w:rsidR="001C4364" w:rsidRPr="003C1B25" w:rsidRDefault="001C4364" w:rsidP="005431A6">
            <w:pPr>
              <w:jc w:val="center"/>
              <w:rPr>
                <w:b/>
                <w:sz w:val="18"/>
                <w:szCs w:val="18"/>
                <w:lang w:val="es-ES_tradnl"/>
              </w:rPr>
            </w:pPr>
            <w:r>
              <w:rPr>
                <w:b/>
                <w:sz w:val="18"/>
                <w:szCs w:val="18"/>
                <w:lang w:val="es-ES_tradnl"/>
              </w:rPr>
              <w:t>Valledupar</w:t>
            </w:r>
          </w:p>
        </w:tc>
        <w:tc>
          <w:tcPr>
            <w:tcW w:w="758" w:type="pct"/>
            <w:shd w:val="clear" w:color="auto" w:fill="D9D9D9" w:themeFill="background1" w:themeFillShade="D9"/>
            <w:vAlign w:val="center"/>
          </w:tcPr>
          <w:p w14:paraId="04E34D29" w14:textId="7E7412C3" w:rsidR="001C4364" w:rsidRPr="003C1B25" w:rsidRDefault="001C4364" w:rsidP="005431A6">
            <w:pPr>
              <w:jc w:val="center"/>
              <w:rPr>
                <w:b/>
                <w:sz w:val="18"/>
                <w:szCs w:val="18"/>
                <w:lang w:val="es-ES_tradnl"/>
              </w:rPr>
            </w:pPr>
            <w:r>
              <w:rPr>
                <w:b/>
                <w:sz w:val="18"/>
                <w:szCs w:val="18"/>
                <w:lang w:val="es-ES_tradnl"/>
              </w:rPr>
              <w:t>La Paz</w:t>
            </w:r>
          </w:p>
        </w:tc>
        <w:tc>
          <w:tcPr>
            <w:tcW w:w="755" w:type="pct"/>
            <w:vMerge/>
            <w:shd w:val="clear" w:color="auto" w:fill="D9D9D9" w:themeFill="background1" w:themeFillShade="D9"/>
            <w:vAlign w:val="center"/>
          </w:tcPr>
          <w:p w14:paraId="1F13DB0A" w14:textId="6FE96CCD" w:rsidR="001C4364" w:rsidRPr="003C1B25" w:rsidRDefault="001C4364" w:rsidP="005431A6">
            <w:pPr>
              <w:jc w:val="center"/>
              <w:rPr>
                <w:b/>
                <w:sz w:val="18"/>
                <w:szCs w:val="18"/>
                <w:lang w:val="es-ES_tradnl"/>
              </w:rPr>
            </w:pPr>
          </w:p>
        </w:tc>
      </w:tr>
      <w:tr w:rsidR="001C4364" w14:paraId="1666B691" w14:textId="77777777" w:rsidTr="001C4364">
        <w:tc>
          <w:tcPr>
            <w:tcW w:w="681" w:type="pct"/>
          </w:tcPr>
          <w:p w14:paraId="09B51256" w14:textId="77777777" w:rsidR="001C4364" w:rsidRPr="001C4364" w:rsidRDefault="001C4364" w:rsidP="005431A6">
            <w:pPr>
              <w:rPr>
                <w:sz w:val="18"/>
                <w:szCs w:val="18"/>
                <w:lang w:val="es-ES_tradnl"/>
              </w:rPr>
            </w:pPr>
            <w:r w:rsidRPr="001C4364">
              <w:rPr>
                <w:sz w:val="18"/>
                <w:szCs w:val="18"/>
                <w:lang w:val="es-ES_tradnl"/>
              </w:rPr>
              <w:t>TA4AS</w:t>
            </w:r>
          </w:p>
        </w:tc>
        <w:tc>
          <w:tcPr>
            <w:tcW w:w="532" w:type="pct"/>
          </w:tcPr>
          <w:p w14:paraId="7CDC311D" w14:textId="77777777" w:rsidR="001C4364" w:rsidRPr="0032167A" w:rsidRDefault="001C4364" w:rsidP="005431A6">
            <w:pPr>
              <w:rPr>
                <w:sz w:val="18"/>
                <w:szCs w:val="18"/>
                <w:lang w:val="es-ES_tradnl"/>
              </w:rPr>
            </w:pPr>
            <w:r w:rsidRPr="0032167A">
              <w:rPr>
                <w:sz w:val="18"/>
                <w:szCs w:val="18"/>
                <w:lang w:val="es-ES_tradnl"/>
              </w:rPr>
              <w:t>km</w:t>
            </w:r>
          </w:p>
        </w:tc>
        <w:tc>
          <w:tcPr>
            <w:tcW w:w="758" w:type="pct"/>
            <w:shd w:val="clear" w:color="auto" w:fill="auto"/>
            <w:vAlign w:val="center"/>
          </w:tcPr>
          <w:p w14:paraId="05BD12A1" w14:textId="51D38FFF" w:rsidR="001C4364" w:rsidRPr="00227675" w:rsidRDefault="00B60321" w:rsidP="005431A6">
            <w:pPr>
              <w:jc w:val="right"/>
              <w:rPr>
                <w:color w:val="000000"/>
                <w:sz w:val="18"/>
                <w:szCs w:val="18"/>
                <w:lang w:val="es-CO" w:eastAsia="es-CO"/>
              </w:rPr>
            </w:pPr>
            <w:r>
              <w:rPr>
                <w:color w:val="000000"/>
                <w:sz w:val="18"/>
                <w:szCs w:val="18"/>
                <w:lang w:val="es-CO" w:eastAsia="es-CO"/>
              </w:rPr>
              <w:t>3,3</w:t>
            </w:r>
          </w:p>
        </w:tc>
        <w:tc>
          <w:tcPr>
            <w:tcW w:w="758" w:type="pct"/>
            <w:shd w:val="clear" w:color="auto" w:fill="auto"/>
            <w:vAlign w:val="center"/>
          </w:tcPr>
          <w:p w14:paraId="4180702C" w14:textId="583D197D" w:rsidR="001C4364" w:rsidRPr="00227675" w:rsidRDefault="00B60321" w:rsidP="005431A6">
            <w:pPr>
              <w:jc w:val="right"/>
              <w:rPr>
                <w:color w:val="000000"/>
                <w:sz w:val="18"/>
                <w:szCs w:val="18"/>
                <w:lang w:val="es-CO" w:eastAsia="es-CO"/>
              </w:rPr>
            </w:pPr>
            <w:r>
              <w:rPr>
                <w:color w:val="000000"/>
                <w:sz w:val="18"/>
                <w:szCs w:val="18"/>
                <w:lang w:val="es-CO" w:eastAsia="es-CO"/>
              </w:rPr>
              <w:t>0,0</w:t>
            </w:r>
          </w:p>
        </w:tc>
        <w:tc>
          <w:tcPr>
            <w:tcW w:w="758" w:type="pct"/>
            <w:shd w:val="clear" w:color="auto" w:fill="auto"/>
            <w:vAlign w:val="center"/>
          </w:tcPr>
          <w:p w14:paraId="775C1EF9" w14:textId="480A48FD" w:rsidR="001C4364" w:rsidRPr="00227675" w:rsidRDefault="00B60321" w:rsidP="005431A6">
            <w:pPr>
              <w:jc w:val="right"/>
              <w:rPr>
                <w:color w:val="000000"/>
                <w:sz w:val="18"/>
                <w:szCs w:val="18"/>
                <w:lang w:val="es-CO" w:eastAsia="es-CO"/>
              </w:rPr>
            </w:pPr>
            <w:r>
              <w:rPr>
                <w:color w:val="000000"/>
                <w:sz w:val="18"/>
                <w:szCs w:val="18"/>
                <w:lang w:val="es-CO" w:eastAsia="es-CO"/>
              </w:rPr>
              <w:t>1,4</w:t>
            </w:r>
          </w:p>
        </w:tc>
        <w:tc>
          <w:tcPr>
            <w:tcW w:w="758" w:type="pct"/>
            <w:shd w:val="clear" w:color="auto" w:fill="auto"/>
            <w:vAlign w:val="center"/>
          </w:tcPr>
          <w:p w14:paraId="265520F2" w14:textId="2450DFAA" w:rsidR="001C4364" w:rsidRPr="00227675" w:rsidRDefault="00B60321" w:rsidP="005431A6">
            <w:pPr>
              <w:jc w:val="right"/>
              <w:rPr>
                <w:color w:val="000000"/>
                <w:sz w:val="18"/>
                <w:szCs w:val="18"/>
                <w:lang w:val="es-CO" w:eastAsia="es-CO"/>
              </w:rPr>
            </w:pPr>
            <w:r>
              <w:rPr>
                <w:color w:val="000000"/>
                <w:sz w:val="18"/>
                <w:szCs w:val="18"/>
                <w:lang w:val="es-CO" w:eastAsia="es-CO"/>
              </w:rPr>
              <w:t>0,0</w:t>
            </w:r>
          </w:p>
        </w:tc>
        <w:tc>
          <w:tcPr>
            <w:tcW w:w="755" w:type="pct"/>
            <w:vAlign w:val="center"/>
          </w:tcPr>
          <w:p w14:paraId="2ADDB49D" w14:textId="765025CE" w:rsidR="001C4364" w:rsidRPr="00227675" w:rsidRDefault="007632B6" w:rsidP="005431A6">
            <w:pPr>
              <w:jc w:val="right"/>
              <w:rPr>
                <w:color w:val="000000"/>
                <w:sz w:val="18"/>
                <w:szCs w:val="18"/>
              </w:rPr>
            </w:pPr>
            <w:r>
              <w:rPr>
                <w:color w:val="000000"/>
                <w:sz w:val="18"/>
                <w:szCs w:val="18"/>
              </w:rPr>
              <w:t>7,46</w:t>
            </w:r>
          </w:p>
        </w:tc>
      </w:tr>
      <w:tr w:rsidR="001C4364" w14:paraId="49BFE6CD" w14:textId="77777777" w:rsidTr="001C4364">
        <w:tc>
          <w:tcPr>
            <w:tcW w:w="681" w:type="pct"/>
          </w:tcPr>
          <w:p w14:paraId="14655E3D" w14:textId="77777777" w:rsidR="001C4364" w:rsidRPr="001C4364" w:rsidRDefault="001C4364" w:rsidP="005431A6">
            <w:pPr>
              <w:rPr>
                <w:sz w:val="18"/>
                <w:szCs w:val="18"/>
                <w:lang w:val="es-ES_tradnl"/>
              </w:rPr>
            </w:pPr>
            <w:r w:rsidRPr="001C4364">
              <w:rPr>
                <w:sz w:val="18"/>
                <w:szCs w:val="18"/>
                <w:lang w:val="es-ES_tradnl"/>
              </w:rPr>
              <w:t>TPE1/2CO</w:t>
            </w:r>
          </w:p>
        </w:tc>
        <w:tc>
          <w:tcPr>
            <w:tcW w:w="532" w:type="pct"/>
          </w:tcPr>
          <w:p w14:paraId="2FA9FD78" w14:textId="77777777" w:rsidR="001C4364" w:rsidRPr="0032167A" w:rsidRDefault="001C4364" w:rsidP="005431A6">
            <w:pPr>
              <w:rPr>
                <w:sz w:val="18"/>
                <w:szCs w:val="18"/>
                <w:lang w:val="es-ES_tradnl"/>
              </w:rPr>
            </w:pPr>
            <w:r w:rsidRPr="0032167A">
              <w:rPr>
                <w:sz w:val="18"/>
                <w:szCs w:val="18"/>
                <w:lang w:val="es-ES_tradnl"/>
              </w:rPr>
              <w:t>km</w:t>
            </w:r>
          </w:p>
        </w:tc>
        <w:tc>
          <w:tcPr>
            <w:tcW w:w="758" w:type="pct"/>
            <w:shd w:val="clear" w:color="auto" w:fill="auto"/>
            <w:vAlign w:val="center"/>
          </w:tcPr>
          <w:p w14:paraId="7F39A54B" w14:textId="152552D6" w:rsidR="001C4364" w:rsidRPr="00227675" w:rsidRDefault="00B60321" w:rsidP="005431A6">
            <w:pPr>
              <w:jc w:val="right"/>
              <w:rPr>
                <w:color w:val="000000"/>
                <w:sz w:val="18"/>
                <w:szCs w:val="18"/>
                <w:lang w:val="es-CO" w:eastAsia="es-CO"/>
              </w:rPr>
            </w:pPr>
            <w:r>
              <w:rPr>
                <w:color w:val="000000"/>
                <w:sz w:val="18"/>
                <w:szCs w:val="18"/>
                <w:lang w:val="es-CO" w:eastAsia="es-CO"/>
              </w:rPr>
              <w:t>1.460,1</w:t>
            </w:r>
          </w:p>
        </w:tc>
        <w:tc>
          <w:tcPr>
            <w:tcW w:w="758" w:type="pct"/>
            <w:shd w:val="clear" w:color="auto" w:fill="auto"/>
            <w:vAlign w:val="center"/>
          </w:tcPr>
          <w:p w14:paraId="61872348" w14:textId="6F3A1683" w:rsidR="001C4364" w:rsidRPr="00227675" w:rsidRDefault="00B60321" w:rsidP="005431A6">
            <w:pPr>
              <w:jc w:val="right"/>
              <w:rPr>
                <w:color w:val="000000"/>
                <w:sz w:val="18"/>
                <w:szCs w:val="18"/>
                <w:lang w:val="es-CO" w:eastAsia="es-CO"/>
              </w:rPr>
            </w:pPr>
            <w:r>
              <w:rPr>
                <w:color w:val="000000"/>
                <w:sz w:val="18"/>
                <w:szCs w:val="18"/>
                <w:lang w:val="es-CO" w:eastAsia="es-CO"/>
              </w:rPr>
              <w:t>79,6</w:t>
            </w:r>
          </w:p>
        </w:tc>
        <w:tc>
          <w:tcPr>
            <w:tcW w:w="758" w:type="pct"/>
            <w:shd w:val="clear" w:color="auto" w:fill="auto"/>
            <w:vAlign w:val="center"/>
          </w:tcPr>
          <w:p w14:paraId="186176DF" w14:textId="786AE461" w:rsidR="001C4364" w:rsidRPr="00227675" w:rsidRDefault="00B60321" w:rsidP="005431A6">
            <w:pPr>
              <w:jc w:val="right"/>
              <w:rPr>
                <w:color w:val="000000"/>
                <w:sz w:val="18"/>
                <w:szCs w:val="18"/>
                <w:lang w:val="es-CO" w:eastAsia="es-CO"/>
              </w:rPr>
            </w:pPr>
            <w:r>
              <w:rPr>
                <w:color w:val="000000"/>
                <w:sz w:val="18"/>
                <w:szCs w:val="18"/>
                <w:lang w:val="es-CO" w:eastAsia="es-CO"/>
              </w:rPr>
              <w:t>632,9</w:t>
            </w:r>
          </w:p>
        </w:tc>
        <w:tc>
          <w:tcPr>
            <w:tcW w:w="758" w:type="pct"/>
            <w:shd w:val="clear" w:color="auto" w:fill="auto"/>
            <w:vAlign w:val="center"/>
          </w:tcPr>
          <w:p w14:paraId="276DB4FE" w14:textId="7EB983A4" w:rsidR="001C4364" w:rsidRPr="00227675" w:rsidRDefault="00B60321" w:rsidP="005431A6">
            <w:pPr>
              <w:jc w:val="right"/>
              <w:rPr>
                <w:color w:val="000000"/>
                <w:sz w:val="18"/>
                <w:szCs w:val="18"/>
                <w:lang w:val="es-CO" w:eastAsia="es-CO"/>
              </w:rPr>
            </w:pPr>
            <w:r>
              <w:rPr>
                <w:color w:val="000000"/>
                <w:sz w:val="18"/>
                <w:szCs w:val="18"/>
                <w:lang w:val="es-CO" w:eastAsia="es-CO"/>
              </w:rPr>
              <w:t>10,2</w:t>
            </w:r>
          </w:p>
        </w:tc>
        <w:tc>
          <w:tcPr>
            <w:tcW w:w="755" w:type="pct"/>
            <w:vAlign w:val="center"/>
          </w:tcPr>
          <w:p w14:paraId="36C54A4B" w14:textId="6213CBB1" w:rsidR="001C4364" w:rsidRPr="00227675" w:rsidRDefault="007632B6" w:rsidP="005431A6">
            <w:pPr>
              <w:jc w:val="right"/>
              <w:rPr>
                <w:sz w:val="18"/>
                <w:szCs w:val="18"/>
                <w:lang w:val="es-ES_tradnl"/>
              </w:rPr>
            </w:pPr>
            <w:r>
              <w:rPr>
                <w:sz w:val="18"/>
                <w:szCs w:val="18"/>
                <w:lang w:val="es-ES_tradnl"/>
              </w:rPr>
              <w:t>0,0</w:t>
            </w:r>
          </w:p>
        </w:tc>
      </w:tr>
      <w:tr w:rsidR="001C4364" w14:paraId="7A9DF5A6" w14:textId="77777777" w:rsidTr="001C4364">
        <w:tc>
          <w:tcPr>
            <w:tcW w:w="681" w:type="pct"/>
          </w:tcPr>
          <w:p w14:paraId="62063238" w14:textId="77777777" w:rsidR="001C4364" w:rsidRPr="001C4364" w:rsidRDefault="001C4364" w:rsidP="005431A6">
            <w:pPr>
              <w:rPr>
                <w:sz w:val="18"/>
                <w:szCs w:val="18"/>
                <w:lang w:val="es-ES_tradnl"/>
              </w:rPr>
            </w:pPr>
            <w:r w:rsidRPr="001C4364">
              <w:rPr>
                <w:sz w:val="18"/>
                <w:szCs w:val="18"/>
                <w:lang w:val="es-ES_tradnl"/>
              </w:rPr>
              <w:t>TPE3/4CO</w:t>
            </w:r>
          </w:p>
        </w:tc>
        <w:tc>
          <w:tcPr>
            <w:tcW w:w="532" w:type="pct"/>
          </w:tcPr>
          <w:p w14:paraId="71EBD78D" w14:textId="77777777" w:rsidR="001C4364" w:rsidRPr="0032167A" w:rsidRDefault="001C4364" w:rsidP="005431A6">
            <w:pPr>
              <w:rPr>
                <w:sz w:val="18"/>
                <w:szCs w:val="18"/>
                <w:lang w:val="es-ES_tradnl"/>
              </w:rPr>
            </w:pPr>
            <w:r w:rsidRPr="0032167A">
              <w:rPr>
                <w:sz w:val="18"/>
                <w:szCs w:val="18"/>
                <w:lang w:val="es-ES_tradnl"/>
              </w:rPr>
              <w:t>km</w:t>
            </w:r>
          </w:p>
        </w:tc>
        <w:tc>
          <w:tcPr>
            <w:tcW w:w="758" w:type="pct"/>
            <w:shd w:val="clear" w:color="auto" w:fill="auto"/>
            <w:vAlign w:val="center"/>
          </w:tcPr>
          <w:p w14:paraId="192937FF" w14:textId="0AC85F5C" w:rsidR="001C4364" w:rsidRPr="00227675" w:rsidRDefault="00B60321" w:rsidP="005431A6">
            <w:pPr>
              <w:jc w:val="right"/>
              <w:rPr>
                <w:color w:val="000000"/>
                <w:sz w:val="18"/>
                <w:szCs w:val="18"/>
                <w:lang w:val="es-CO" w:eastAsia="es-CO"/>
              </w:rPr>
            </w:pPr>
            <w:r>
              <w:rPr>
                <w:color w:val="000000"/>
                <w:sz w:val="18"/>
                <w:szCs w:val="18"/>
                <w:lang w:val="es-CO" w:eastAsia="es-CO"/>
              </w:rPr>
              <w:t>670,4</w:t>
            </w:r>
          </w:p>
        </w:tc>
        <w:tc>
          <w:tcPr>
            <w:tcW w:w="758" w:type="pct"/>
            <w:shd w:val="clear" w:color="auto" w:fill="auto"/>
            <w:vAlign w:val="center"/>
          </w:tcPr>
          <w:p w14:paraId="5D55EE07" w14:textId="59FAAC2F" w:rsidR="001C4364" w:rsidRPr="00227675" w:rsidRDefault="00B60321" w:rsidP="005431A6">
            <w:pPr>
              <w:jc w:val="right"/>
              <w:rPr>
                <w:color w:val="000000"/>
                <w:sz w:val="18"/>
                <w:szCs w:val="18"/>
                <w:lang w:val="es-CO" w:eastAsia="es-CO"/>
              </w:rPr>
            </w:pPr>
            <w:r>
              <w:rPr>
                <w:color w:val="000000"/>
                <w:sz w:val="18"/>
                <w:szCs w:val="18"/>
                <w:lang w:val="es-CO" w:eastAsia="es-CO"/>
              </w:rPr>
              <w:t>46,9</w:t>
            </w:r>
          </w:p>
        </w:tc>
        <w:tc>
          <w:tcPr>
            <w:tcW w:w="758" w:type="pct"/>
            <w:shd w:val="clear" w:color="auto" w:fill="auto"/>
            <w:vAlign w:val="center"/>
          </w:tcPr>
          <w:p w14:paraId="44996BD1" w14:textId="30A06ACF" w:rsidR="001C4364" w:rsidRPr="00227675" w:rsidRDefault="00B60321" w:rsidP="005431A6">
            <w:pPr>
              <w:jc w:val="right"/>
              <w:rPr>
                <w:color w:val="000000"/>
                <w:sz w:val="18"/>
                <w:szCs w:val="18"/>
                <w:lang w:val="es-CO" w:eastAsia="es-CO"/>
              </w:rPr>
            </w:pPr>
            <w:r>
              <w:rPr>
                <w:color w:val="000000"/>
                <w:sz w:val="18"/>
                <w:szCs w:val="18"/>
                <w:lang w:val="es-CO" w:eastAsia="es-CO"/>
              </w:rPr>
              <w:t>106,0</w:t>
            </w:r>
          </w:p>
        </w:tc>
        <w:tc>
          <w:tcPr>
            <w:tcW w:w="758" w:type="pct"/>
            <w:shd w:val="clear" w:color="auto" w:fill="auto"/>
            <w:vAlign w:val="center"/>
          </w:tcPr>
          <w:p w14:paraId="7FB93D9F" w14:textId="6A27EDA1" w:rsidR="001C4364" w:rsidRPr="00227675" w:rsidRDefault="00B60321" w:rsidP="005431A6">
            <w:pPr>
              <w:jc w:val="right"/>
              <w:rPr>
                <w:color w:val="000000"/>
                <w:sz w:val="18"/>
                <w:szCs w:val="18"/>
                <w:lang w:val="es-CO" w:eastAsia="es-CO"/>
              </w:rPr>
            </w:pPr>
            <w:r>
              <w:rPr>
                <w:color w:val="000000"/>
                <w:sz w:val="18"/>
                <w:szCs w:val="18"/>
                <w:lang w:val="es-CO" w:eastAsia="es-CO"/>
              </w:rPr>
              <w:t>48,7</w:t>
            </w:r>
          </w:p>
        </w:tc>
        <w:tc>
          <w:tcPr>
            <w:tcW w:w="755" w:type="pct"/>
            <w:vAlign w:val="center"/>
          </w:tcPr>
          <w:p w14:paraId="007DF148" w14:textId="121774AB" w:rsidR="001C4364" w:rsidRPr="00227675" w:rsidRDefault="007632B6" w:rsidP="005431A6">
            <w:pPr>
              <w:jc w:val="right"/>
              <w:rPr>
                <w:sz w:val="18"/>
                <w:szCs w:val="18"/>
                <w:lang w:val="es-ES_tradnl"/>
              </w:rPr>
            </w:pPr>
            <w:r>
              <w:rPr>
                <w:sz w:val="18"/>
                <w:szCs w:val="18"/>
                <w:lang w:val="es-ES_tradnl"/>
              </w:rPr>
              <w:t>0,0</w:t>
            </w:r>
          </w:p>
        </w:tc>
      </w:tr>
      <w:tr w:rsidR="001C4364" w14:paraId="56AA2845" w14:textId="77777777" w:rsidTr="001C4364">
        <w:tc>
          <w:tcPr>
            <w:tcW w:w="681" w:type="pct"/>
          </w:tcPr>
          <w:p w14:paraId="53D491B5" w14:textId="77777777" w:rsidR="001C4364" w:rsidRPr="001C4364" w:rsidRDefault="001C4364" w:rsidP="005431A6">
            <w:pPr>
              <w:rPr>
                <w:sz w:val="18"/>
                <w:szCs w:val="18"/>
                <w:lang w:val="es-ES_tradnl"/>
              </w:rPr>
            </w:pPr>
            <w:r w:rsidRPr="001C4364">
              <w:rPr>
                <w:sz w:val="18"/>
                <w:szCs w:val="18"/>
                <w:lang w:val="es-ES_tradnl"/>
              </w:rPr>
              <w:t>TPE2AS</w:t>
            </w:r>
          </w:p>
        </w:tc>
        <w:tc>
          <w:tcPr>
            <w:tcW w:w="532" w:type="pct"/>
          </w:tcPr>
          <w:p w14:paraId="59B6EE30" w14:textId="77777777" w:rsidR="001C4364" w:rsidRPr="0032167A" w:rsidRDefault="001C4364" w:rsidP="005431A6">
            <w:pPr>
              <w:rPr>
                <w:sz w:val="18"/>
                <w:szCs w:val="18"/>
                <w:lang w:val="es-ES_tradnl"/>
              </w:rPr>
            </w:pPr>
            <w:r w:rsidRPr="0032167A">
              <w:rPr>
                <w:sz w:val="18"/>
                <w:szCs w:val="18"/>
                <w:lang w:val="es-ES_tradnl"/>
              </w:rPr>
              <w:t>km</w:t>
            </w:r>
          </w:p>
        </w:tc>
        <w:tc>
          <w:tcPr>
            <w:tcW w:w="758" w:type="pct"/>
            <w:shd w:val="clear" w:color="auto" w:fill="auto"/>
            <w:vAlign w:val="center"/>
          </w:tcPr>
          <w:p w14:paraId="1AD0FFF7" w14:textId="195AB359" w:rsidR="001C4364" w:rsidRPr="00227675" w:rsidRDefault="00B60321" w:rsidP="005431A6">
            <w:pPr>
              <w:jc w:val="right"/>
              <w:rPr>
                <w:color w:val="000000"/>
                <w:sz w:val="18"/>
                <w:szCs w:val="18"/>
                <w:lang w:val="es-CO" w:eastAsia="es-CO"/>
              </w:rPr>
            </w:pPr>
            <w:r>
              <w:rPr>
                <w:color w:val="000000"/>
                <w:sz w:val="18"/>
                <w:szCs w:val="18"/>
                <w:lang w:val="es-CO" w:eastAsia="es-CO"/>
              </w:rPr>
              <w:t>199,8</w:t>
            </w:r>
          </w:p>
        </w:tc>
        <w:tc>
          <w:tcPr>
            <w:tcW w:w="758" w:type="pct"/>
            <w:shd w:val="clear" w:color="auto" w:fill="auto"/>
            <w:vAlign w:val="center"/>
          </w:tcPr>
          <w:p w14:paraId="5EF8734E" w14:textId="75941B46" w:rsidR="001C4364" w:rsidRPr="00227675" w:rsidRDefault="00B60321" w:rsidP="005431A6">
            <w:pPr>
              <w:jc w:val="right"/>
              <w:rPr>
                <w:color w:val="000000"/>
                <w:sz w:val="18"/>
                <w:szCs w:val="18"/>
                <w:lang w:val="es-CO" w:eastAsia="es-CO"/>
              </w:rPr>
            </w:pPr>
            <w:r>
              <w:rPr>
                <w:color w:val="000000"/>
                <w:sz w:val="18"/>
                <w:szCs w:val="18"/>
                <w:lang w:val="es-CO" w:eastAsia="es-CO"/>
              </w:rPr>
              <w:t>10,6</w:t>
            </w:r>
          </w:p>
        </w:tc>
        <w:tc>
          <w:tcPr>
            <w:tcW w:w="758" w:type="pct"/>
            <w:shd w:val="clear" w:color="auto" w:fill="auto"/>
            <w:vAlign w:val="center"/>
          </w:tcPr>
          <w:p w14:paraId="7C6C6999" w14:textId="171C960D" w:rsidR="001C4364" w:rsidRPr="00227675" w:rsidRDefault="00B60321" w:rsidP="005431A6">
            <w:pPr>
              <w:jc w:val="right"/>
              <w:rPr>
                <w:color w:val="000000"/>
                <w:sz w:val="18"/>
                <w:szCs w:val="18"/>
                <w:lang w:val="es-CO" w:eastAsia="es-CO"/>
              </w:rPr>
            </w:pPr>
            <w:r>
              <w:rPr>
                <w:color w:val="000000"/>
                <w:sz w:val="18"/>
                <w:szCs w:val="18"/>
                <w:lang w:val="es-CO" w:eastAsia="es-CO"/>
              </w:rPr>
              <w:t>0,0</w:t>
            </w:r>
          </w:p>
        </w:tc>
        <w:tc>
          <w:tcPr>
            <w:tcW w:w="758" w:type="pct"/>
            <w:shd w:val="clear" w:color="auto" w:fill="auto"/>
            <w:vAlign w:val="center"/>
          </w:tcPr>
          <w:p w14:paraId="59DC9355" w14:textId="64CA8618" w:rsidR="001C4364" w:rsidRPr="00227675" w:rsidRDefault="00B60321" w:rsidP="005431A6">
            <w:pPr>
              <w:jc w:val="right"/>
              <w:rPr>
                <w:color w:val="000000"/>
                <w:sz w:val="18"/>
                <w:szCs w:val="18"/>
                <w:lang w:val="es-CO" w:eastAsia="es-CO"/>
              </w:rPr>
            </w:pPr>
            <w:r>
              <w:rPr>
                <w:color w:val="000000"/>
                <w:sz w:val="18"/>
                <w:szCs w:val="18"/>
                <w:lang w:val="es-CO" w:eastAsia="es-CO"/>
              </w:rPr>
              <w:t>0,0</w:t>
            </w:r>
          </w:p>
        </w:tc>
        <w:tc>
          <w:tcPr>
            <w:tcW w:w="755" w:type="pct"/>
            <w:vAlign w:val="center"/>
          </w:tcPr>
          <w:p w14:paraId="7E0D134B" w14:textId="7E78F632" w:rsidR="001C4364" w:rsidRPr="00227675" w:rsidRDefault="007632B6" w:rsidP="005431A6">
            <w:pPr>
              <w:jc w:val="right"/>
              <w:rPr>
                <w:sz w:val="18"/>
                <w:szCs w:val="18"/>
                <w:lang w:val="es-ES_tradnl"/>
              </w:rPr>
            </w:pPr>
            <w:r>
              <w:rPr>
                <w:sz w:val="18"/>
                <w:szCs w:val="18"/>
                <w:lang w:val="es-ES_tradnl"/>
              </w:rPr>
              <w:t>0,0</w:t>
            </w:r>
          </w:p>
        </w:tc>
      </w:tr>
      <w:tr w:rsidR="001C4364" w14:paraId="09BBD52B" w14:textId="77777777" w:rsidTr="001C4364">
        <w:tc>
          <w:tcPr>
            <w:tcW w:w="681" w:type="pct"/>
          </w:tcPr>
          <w:p w14:paraId="58D7BB01" w14:textId="77777777" w:rsidR="001C4364" w:rsidRPr="001C4364" w:rsidRDefault="001C4364" w:rsidP="005431A6">
            <w:pPr>
              <w:rPr>
                <w:sz w:val="18"/>
                <w:szCs w:val="18"/>
                <w:lang w:val="es-ES_tradnl"/>
              </w:rPr>
            </w:pPr>
            <w:r w:rsidRPr="001C4364">
              <w:rPr>
                <w:sz w:val="18"/>
                <w:szCs w:val="18"/>
                <w:lang w:val="es-ES_tradnl"/>
              </w:rPr>
              <w:t>TPE3AS</w:t>
            </w:r>
          </w:p>
        </w:tc>
        <w:tc>
          <w:tcPr>
            <w:tcW w:w="532" w:type="pct"/>
          </w:tcPr>
          <w:p w14:paraId="678397F7" w14:textId="77777777" w:rsidR="001C4364" w:rsidRPr="0032167A" w:rsidRDefault="001C4364" w:rsidP="005431A6">
            <w:pPr>
              <w:rPr>
                <w:sz w:val="18"/>
                <w:szCs w:val="18"/>
                <w:lang w:val="es-ES_tradnl"/>
              </w:rPr>
            </w:pPr>
            <w:r w:rsidRPr="0032167A">
              <w:rPr>
                <w:sz w:val="18"/>
                <w:szCs w:val="18"/>
                <w:lang w:val="es-ES_tradnl"/>
              </w:rPr>
              <w:t>km</w:t>
            </w:r>
          </w:p>
        </w:tc>
        <w:tc>
          <w:tcPr>
            <w:tcW w:w="758" w:type="pct"/>
            <w:shd w:val="clear" w:color="auto" w:fill="auto"/>
            <w:vAlign w:val="center"/>
          </w:tcPr>
          <w:p w14:paraId="21C47F49" w14:textId="6B1C003B" w:rsidR="001C4364" w:rsidRPr="00227675" w:rsidRDefault="00B60321" w:rsidP="005431A6">
            <w:pPr>
              <w:jc w:val="right"/>
              <w:rPr>
                <w:color w:val="000000"/>
                <w:sz w:val="18"/>
                <w:szCs w:val="18"/>
                <w:lang w:val="es-CO" w:eastAsia="es-CO"/>
              </w:rPr>
            </w:pPr>
            <w:r>
              <w:rPr>
                <w:color w:val="000000"/>
                <w:sz w:val="18"/>
                <w:szCs w:val="18"/>
                <w:lang w:val="es-CO" w:eastAsia="es-CO"/>
              </w:rPr>
              <w:t>55,1</w:t>
            </w:r>
          </w:p>
        </w:tc>
        <w:tc>
          <w:tcPr>
            <w:tcW w:w="758" w:type="pct"/>
            <w:shd w:val="clear" w:color="auto" w:fill="auto"/>
            <w:vAlign w:val="center"/>
          </w:tcPr>
          <w:p w14:paraId="0A53DC34" w14:textId="5B13F58C" w:rsidR="001C4364" w:rsidRPr="00227675" w:rsidRDefault="00B60321" w:rsidP="005431A6">
            <w:pPr>
              <w:jc w:val="right"/>
              <w:rPr>
                <w:color w:val="000000"/>
                <w:sz w:val="18"/>
                <w:szCs w:val="18"/>
                <w:lang w:val="es-CO" w:eastAsia="es-CO"/>
              </w:rPr>
            </w:pPr>
            <w:r>
              <w:rPr>
                <w:color w:val="000000"/>
                <w:sz w:val="18"/>
                <w:szCs w:val="18"/>
                <w:lang w:val="es-CO" w:eastAsia="es-CO"/>
              </w:rPr>
              <w:t>0,0</w:t>
            </w:r>
          </w:p>
        </w:tc>
        <w:tc>
          <w:tcPr>
            <w:tcW w:w="758" w:type="pct"/>
            <w:shd w:val="clear" w:color="auto" w:fill="auto"/>
            <w:vAlign w:val="center"/>
          </w:tcPr>
          <w:p w14:paraId="4E3371B5" w14:textId="2D8704D1" w:rsidR="001C4364" w:rsidRPr="00227675" w:rsidRDefault="00B60321" w:rsidP="005431A6">
            <w:pPr>
              <w:jc w:val="right"/>
              <w:rPr>
                <w:color w:val="000000"/>
                <w:sz w:val="18"/>
                <w:szCs w:val="18"/>
                <w:lang w:val="es-CO" w:eastAsia="es-CO"/>
              </w:rPr>
            </w:pPr>
            <w:r>
              <w:rPr>
                <w:color w:val="000000"/>
                <w:sz w:val="18"/>
                <w:szCs w:val="18"/>
                <w:lang w:val="es-CO" w:eastAsia="es-CO"/>
              </w:rPr>
              <w:t>9,3</w:t>
            </w:r>
          </w:p>
        </w:tc>
        <w:tc>
          <w:tcPr>
            <w:tcW w:w="758" w:type="pct"/>
            <w:shd w:val="clear" w:color="auto" w:fill="auto"/>
            <w:vAlign w:val="center"/>
          </w:tcPr>
          <w:p w14:paraId="3E69DDCF" w14:textId="093FADA9" w:rsidR="001C4364" w:rsidRPr="00227675" w:rsidRDefault="00B60321" w:rsidP="005431A6">
            <w:pPr>
              <w:jc w:val="right"/>
              <w:rPr>
                <w:color w:val="000000"/>
                <w:sz w:val="18"/>
                <w:szCs w:val="18"/>
                <w:lang w:val="es-CO" w:eastAsia="es-CO"/>
              </w:rPr>
            </w:pPr>
            <w:r>
              <w:rPr>
                <w:color w:val="000000"/>
                <w:sz w:val="18"/>
                <w:szCs w:val="18"/>
                <w:lang w:val="es-CO" w:eastAsia="es-CO"/>
              </w:rPr>
              <w:t>0,9</w:t>
            </w:r>
          </w:p>
        </w:tc>
        <w:tc>
          <w:tcPr>
            <w:tcW w:w="755" w:type="pct"/>
            <w:vAlign w:val="center"/>
          </w:tcPr>
          <w:p w14:paraId="7E6F2A6F" w14:textId="72DBBEC0" w:rsidR="001C4364" w:rsidRPr="00227675" w:rsidRDefault="007632B6" w:rsidP="005431A6">
            <w:pPr>
              <w:jc w:val="right"/>
              <w:rPr>
                <w:sz w:val="18"/>
                <w:szCs w:val="18"/>
                <w:lang w:val="es-ES_tradnl"/>
              </w:rPr>
            </w:pPr>
            <w:r>
              <w:rPr>
                <w:sz w:val="18"/>
                <w:szCs w:val="18"/>
                <w:lang w:val="es-ES_tradnl"/>
              </w:rPr>
              <w:t>0,0</w:t>
            </w:r>
          </w:p>
        </w:tc>
      </w:tr>
      <w:tr w:rsidR="001C4364" w14:paraId="182BAF95" w14:textId="77777777" w:rsidTr="001C4364">
        <w:tc>
          <w:tcPr>
            <w:tcW w:w="681" w:type="pct"/>
          </w:tcPr>
          <w:p w14:paraId="05ED9B61" w14:textId="77777777" w:rsidR="001C4364" w:rsidRPr="001C4364" w:rsidRDefault="001C4364" w:rsidP="005431A6">
            <w:pPr>
              <w:rPr>
                <w:sz w:val="18"/>
                <w:szCs w:val="18"/>
                <w:lang w:val="es-ES_tradnl"/>
              </w:rPr>
            </w:pPr>
            <w:r w:rsidRPr="001C4364">
              <w:rPr>
                <w:sz w:val="18"/>
                <w:szCs w:val="18"/>
                <w:lang w:val="es-ES_tradnl"/>
              </w:rPr>
              <w:t>TPE4AS</w:t>
            </w:r>
          </w:p>
        </w:tc>
        <w:tc>
          <w:tcPr>
            <w:tcW w:w="532" w:type="pct"/>
          </w:tcPr>
          <w:p w14:paraId="3917C474" w14:textId="77777777" w:rsidR="001C4364" w:rsidRPr="0032167A" w:rsidRDefault="001C4364" w:rsidP="005431A6">
            <w:pPr>
              <w:rPr>
                <w:sz w:val="18"/>
                <w:szCs w:val="18"/>
                <w:lang w:val="es-ES_tradnl"/>
              </w:rPr>
            </w:pPr>
            <w:r w:rsidRPr="0032167A">
              <w:rPr>
                <w:sz w:val="18"/>
                <w:szCs w:val="18"/>
                <w:lang w:val="es-ES_tradnl"/>
              </w:rPr>
              <w:t>km</w:t>
            </w:r>
          </w:p>
        </w:tc>
        <w:tc>
          <w:tcPr>
            <w:tcW w:w="758" w:type="pct"/>
            <w:shd w:val="clear" w:color="auto" w:fill="auto"/>
            <w:vAlign w:val="center"/>
          </w:tcPr>
          <w:p w14:paraId="478479BC" w14:textId="2F0C08B7" w:rsidR="001C4364" w:rsidRPr="00227675" w:rsidRDefault="00B60321" w:rsidP="005431A6">
            <w:pPr>
              <w:jc w:val="right"/>
              <w:rPr>
                <w:sz w:val="18"/>
                <w:szCs w:val="18"/>
                <w:lang w:val="es-ES_tradnl"/>
              </w:rPr>
            </w:pPr>
            <w:r>
              <w:rPr>
                <w:sz w:val="18"/>
                <w:szCs w:val="18"/>
                <w:lang w:val="es-ES_tradnl"/>
              </w:rPr>
              <w:t>39,5</w:t>
            </w:r>
          </w:p>
        </w:tc>
        <w:tc>
          <w:tcPr>
            <w:tcW w:w="758" w:type="pct"/>
            <w:shd w:val="clear" w:color="auto" w:fill="auto"/>
            <w:vAlign w:val="center"/>
          </w:tcPr>
          <w:p w14:paraId="403EEAE0" w14:textId="35949E13" w:rsidR="001C4364" w:rsidRPr="00227675" w:rsidRDefault="00B60321" w:rsidP="005431A6">
            <w:pPr>
              <w:jc w:val="right"/>
              <w:rPr>
                <w:sz w:val="18"/>
                <w:szCs w:val="18"/>
                <w:lang w:val="es-ES_tradnl"/>
              </w:rPr>
            </w:pPr>
            <w:r>
              <w:rPr>
                <w:sz w:val="18"/>
                <w:szCs w:val="18"/>
                <w:lang w:val="es-ES_tradnl"/>
              </w:rPr>
              <w:t>13,7</w:t>
            </w:r>
          </w:p>
        </w:tc>
        <w:tc>
          <w:tcPr>
            <w:tcW w:w="758" w:type="pct"/>
            <w:shd w:val="clear" w:color="auto" w:fill="auto"/>
            <w:vAlign w:val="center"/>
          </w:tcPr>
          <w:p w14:paraId="48C57B73" w14:textId="696635D5" w:rsidR="001C4364" w:rsidRPr="00227675" w:rsidRDefault="00B60321" w:rsidP="005431A6">
            <w:pPr>
              <w:jc w:val="right"/>
              <w:rPr>
                <w:sz w:val="18"/>
                <w:szCs w:val="18"/>
                <w:lang w:val="es-ES_tradnl"/>
              </w:rPr>
            </w:pPr>
            <w:r>
              <w:rPr>
                <w:sz w:val="18"/>
                <w:szCs w:val="18"/>
                <w:lang w:val="es-ES_tradnl"/>
              </w:rPr>
              <w:t>80,4</w:t>
            </w:r>
          </w:p>
        </w:tc>
        <w:tc>
          <w:tcPr>
            <w:tcW w:w="758" w:type="pct"/>
            <w:shd w:val="clear" w:color="auto" w:fill="auto"/>
            <w:vAlign w:val="center"/>
          </w:tcPr>
          <w:p w14:paraId="5FD85BAC" w14:textId="1EB624A3" w:rsidR="001C4364" w:rsidRPr="00227675" w:rsidRDefault="00B60321" w:rsidP="005431A6">
            <w:pPr>
              <w:jc w:val="right"/>
              <w:rPr>
                <w:sz w:val="18"/>
                <w:szCs w:val="18"/>
                <w:lang w:val="es-ES_tradnl"/>
              </w:rPr>
            </w:pPr>
            <w:r>
              <w:rPr>
                <w:sz w:val="18"/>
                <w:szCs w:val="18"/>
                <w:lang w:val="es-ES_tradnl"/>
              </w:rPr>
              <w:t>5,8</w:t>
            </w:r>
          </w:p>
        </w:tc>
        <w:tc>
          <w:tcPr>
            <w:tcW w:w="755" w:type="pct"/>
            <w:vAlign w:val="center"/>
          </w:tcPr>
          <w:p w14:paraId="0A41C4E8" w14:textId="585C9219" w:rsidR="001C4364" w:rsidRPr="00227675" w:rsidRDefault="007632B6" w:rsidP="005431A6">
            <w:pPr>
              <w:jc w:val="right"/>
              <w:rPr>
                <w:sz w:val="18"/>
                <w:szCs w:val="18"/>
                <w:lang w:val="es-ES_tradnl"/>
              </w:rPr>
            </w:pPr>
            <w:r>
              <w:rPr>
                <w:sz w:val="18"/>
                <w:szCs w:val="18"/>
                <w:lang w:val="es-ES_tradnl"/>
              </w:rPr>
              <w:t>0,0</w:t>
            </w:r>
          </w:p>
        </w:tc>
      </w:tr>
      <w:tr w:rsidR="001C4364" w14:paraId="1AC780B5" w14:textId="77777777" w:rsidTr="001C4364">
        <w:trPr>
          <w:trHeight w:val="70"/>
        </w:trPr>
        <w:tc>
          <w:tcPr>
            <w:tcW w:w="681" w:type="pct"/>
          </w:tcPr>
          <w:p w14:paraId="71FE1CF1" w14:textId="77777777" w:rsidR="001C4364" w:rsidRPr="001C4364" w:rsidRDefault="001C4364" w:rsidP="005431A6">
            <w:pPr>
              <w:rPr>
                <w:sz w:val="18"/>
                <w:szCs w:val="18"/>
                <w:lang w:val="es-ES_tradnl"/>
              </w:rPr>
            </w:pPr>
            <w:r w:rsidRPr="001C4364">
              <w:rPr>
                <w:sz w:val="18"/>
                <w:szCs w:val="18"/>
                <w:lang w:val="es-ES_tradnl"/>
              </w:rPr>
              <w:t>ERP 8T1</w:t>
            </w:r>
          </w:p>
        </w:tc>
        <w:tc>
          <w:tcPr>
            <w:tcW w:w="532" w:type="pct"/>
          </w:tcPr>
          <w:p w14:paraId="45FDBD2B" w14:textId="77777777" w:rsidR="001C4364" w:rsidRPr="0032167A" w:rsidRDefault="001C4364" w:rsidP="005431A6">
            <w:pPr>
              <w:rPr>
                <w:sz w:val="18"/>
                <w:szCs w:val="18"/>
                <w:lang w:val="es-ES_tradnl"/>
              </w:rPr>
            </w:pPr>
            <w:r w:rsidRPr="0032167A">
              <w:rPr>
                <w:sz w:val="18"/>
                <w:szCs w:val="18"/>
                <w:lang w:val="es-ES_tradnl"/>
              </w:rPr>
              <w:t>Unidad</w:t>
            </w:r>
          </w:p>
        </w:tc>
        <w:tc>
          <w:tcPr>
            <w:tcW w:w="758" w:type="pct"/>
            <w:shd w:val="clear" w:color="auto" w:fill="auto"/>
            <w:vAlign w:val="center"/>
          </w:tcPr>
          <w:p w14:paraId="1365D2E0" w14:textId="634DA57A" w:rsidR="001C4364" w:rsidRPr="00227675" w:rsidRDefault="00B60321" w:rsidP="005431A6">
            <w:pPr>
              <w:jc w:val="right"/>
              <w:rPr>
                <w:sz w:val="18"/>
                <w:szCs w:val="18"/>
                <w:lang w:val="es-ES_tradnl"/>
              </w:rPr>
            </w:pPr>
            <w:r>
              <w:rPr>
                <w:sz w:val="18"/>
                <w:szCs w:val="18"/>
                <w:lang w:val="es-ES_tradnl"/>
              </w:rPr>
              <w:t>12</w:t>
            </w:r>
          </w:p>
        </w:tc>
        <w:tc>
          <w:tcPr>
            <w:tcW w:w="758" w:type="pct"/>
            <w:shd w:val="clear" w:color="auto" w:fill="auto"/>
            <w:vAlign w:val="center"/>
          </w:tcPr>
          <w:p w14:paraId="4457A94D" w14:textId="4DF3F76C" w:rsidR="001C4364" w:rsidRPr="00227675" w:rsidRDefault="00B60321" w:rsidP="005431A6">
            <w:pPr>
              <w:jc w:val="right"/>
              <w:rPr>
                <w:sz w:val="18"/>
                <w:szCs w:val="18"/>
                <w:lang w:val="es-ES_tradnl"/>
              </w:rPr>
            </w:pPr>
            <w:r>
              <w:rPr>
                <w:sz w:val="18"/>
                <w:szCs w:val="18"/>
                <w:lang w:val="es-ES_tradnl"/>
              </w:rPr>
              <w:t>0,0</w:t>
            </w:r>
          </w:p>
        </w:tc>
        <w:tc>
          <w:tcPr>
            <w:tcW w:w="758" w:type="pct"/>
            <w:shd w:val="clear" w:color="auto" w:fill="auto"/>
            <w:vAlign w:val="center"/>
          </w:tcPr>
          <w:p w14:paraId="7206C536" w14:textId="360559AF" w:rsidR="001C4364" w:rsidRPr="00227675" w:rsidRDefault="00B60321" w:rsidP="005431A6">
            <w:pPr>
              <w:jc w:val="right"/>
              <w:rPr>
                <w:sz w:val="18"/>
                <w:szCs w:val="18"/>
                <w:lang w:val="es-ES_tradnl"/>
              </w:rPr>
            </w:pPr>
            <w:r>
              <w:rPr>
                <w:sz w:val="18"/>
                <w:szCs w:val="18"/>
                <w:lang w:val="es-ES_tradnl"/>
              </w:rPr>
              <w:t>3,0</w:t>
            </w:r>
          </w:p>
        </w:tc>
        <w:tc>
          <w:tcPr>
            <w:tcW w:w="758" w:type="pct"/>
            <w:shd w:val="clear" w:color="auto" w:fill="auto"/>
            <w:vAlign w:val="center"/>
          </w:tcPr>
          <w:p w14:paraId="324F0578" w14:textId="73CAD5CD" w:rsidR="001C4364" w:rsidRPr="00227675" w:rsidRDefault="00B60321" w:rsidP="005431A6">
            <w:pPr>
              <w:jc w:val="right"/>
              <w:rPr>
                <w:sz w:val="18"/>
                <w:szCs w:val="18"/>
                <w:lang w:val="es-ES_tradnl"/>
              </w:rPr>
            </w:pPr>
            <w:r>
              <w:rPr>
                <w:sz w:val="18"/>
                <w:szCs w:val="18"/>
                <w:lang w:val="es-ES_tradnl"/>
              </w:rPr>
              <w:t>0,0</w:t>
            </w:r>
          </w:p>
        </w:tc>
        <w:tc>
          <w:tcPr>
            <w:tcW w:w="755" w:type="pct"/>
            <w:vAlign w:val="center"/>
          </w:tcPr>
          <w:p w14:paraId="1C91A72F" w14:textId="5FCE5F20" w:rsidR="001C4364" w:rsidRPr="00227675" w:rsidRDefault="007632B6" w:rsidP="005431A6">
            <w:pPr>
              <w:jc w:val="right"/>
              <w:rPr>
                <w:sz w:val="18"/>
                <w:szCs w:val="18"/>
                <w:lang w:val="es-ES_tradnl"/>
              </w:rPr>
            </w:pPr>
            <w:r>
              <w:rPr>
                <w:sz w:val="18"/>
                <w:szCs w:val="18"/>
                <w:lang w:val="es-ES_tradnl"/>
              </w:rPr>
              <w:t>0,0</w:t>
            </w:r>
          </w:p>
        </w:tc>
      </w:tr>
    </w:tbl>
    <w:p w14:paraId="5CED57B6" w14:textId="77777777" w:rsidR="00A82C4A" w:rsidRPr="00A82C4A" w:rsidRDefault="00A82C4A" w:rsidP="00A82C4A">
      <w:pPr>
        <w:rPr>
          <w:sz w:val="32"/>
          <w:lang w:val="es-ES_tradnl"/>
        </w:rPr>
      </w:pPr>
    </w:p>
    <w:p w14:paraId="20EE02DE" w14:textId="33B25ED8" w:rsidR="00076562" w:rsidRDefault="00DB4193" w:rsidP="00076562">
      <w:pPr>
        <w:spacing w:before="240" w:after="240"/>
        <w:rPr>
          <w:lang w:val="es-ES_tradnl"/>
        </w:rPr>
      </w:pPr>
      <w:r>
        <w:rPr>
          <w:lang w:val="es-ES_tradnl"/>
        </w:rPr>
        <w:t xml:space="preserve">En el Cuadro </w:t>
      </w:r>
      <w:r w:rsidR="00BE7331">
        <w:rPr>
          <w:lang w:val="es-ES_tradnl"/>
        </w:rPr>
        <w:t>6</w:t>
      </w:r>
      <w:r>
        <w:rPr>
          <w:lang w:val="es-ES_tradnl"/>
        </w:rPr>
        <w:t xml:space="preserve"> se muestran las cantidades que se reconocieron para las unidades constructivas para las cuales la empresa GASES DEL CARIBE S.A. E.S.P. manifiesta que existen diferencias y para los municipios objeto del recurso, los cuales corresponden a Barranquilla y </w:t>
      </w:r>
      <w:proofErr w:type="spellStart"/>
      <w:r>
        <w:rPr>
          <w:lang w:val="es-ES_tradnl"/>
        </w:rPr>
        <w:t>Baranoa</w:t>
      </w:r>
      <w:proofErr w:type="spellEnd"/>
      <w:r>
        <w:rPr>
          <w:lang w:val="es-ES_tradnl"/>
        </w:rPr>
        <w:t xml:space="preserve"> en el departamento de Atlántico; y Valledupar y La Paz en el departamento de Cesar.</w:t>
      </w:r>
      <w:r w:rsidR="00076562">
        <w:rPr>
          <w:lang w:val="es-ES_tradnl"/>
        </w:rPr>
        <w:t xml:space="preserve"> La información relativa a la Inversión Existente reconocida en el cargo aprobado mediante Resolución CREG 198 de 2017 se dispone en el numeral 1 del Anexo 1 del Documento CREG 112 de 2017.</w:t>
      </w:r>
    </w:p>
    <w:p w14:paraId="32CF2BD2" w14:textId="18F86B56" w:rsidR="002D5FA8" w:rsidRPr="002D5FA8" w:rsidRDefault="002D5FA8" w:rsidP="002D5FA8">
      <w:pPr>
        <w:keepNext/>
        <w:spacing w:before="240" w:after="120"/>
        <w:jc w:val="center"/>
        <w:rPr>
          <w:b/>
          <w:lang w:val="es-ES_tradnl"/>
        </w:rPr>
      </w:pPr>
      <w:r w:rsidRPr="002D5FA8">
        <w:rPr>
          <w:b/>
          <w:lang w:val="es-ES_tradnl"/>
        </w:rPr>
        <w:lastRenderedPageBreak/>
        <w:t xml:space="preserve">Cuadro </w:t>
      </w:r>
      <w:r w:rsidR="00BE7331">
        <w:rPr>
          <w:b/>
          <w:lang w:val="es-ES_tradnl"/>
        </w:rPr>
        <w:t>6</w:t>
      </w:r>
    </w:p>
    <w:tbl>
      <w:tblPr>
        <w:tblW w:w="5000" w:type="pct"/>
        <w:tblCellMar>
          <w:left w:w="70" w:type="dxa"/>
          <w:right w:w="70" w:type="dxa"/>
        </w:tblCellMar>
        <w:tblLook w:val="04A0" w:firstRow="1" w:lastRow="0" w:firstColumn="1" w:lastColumn="0" w:noHBand="0" w:noVBand="1"/>
      </w:tblPr>
      <w:tblGrid>
        <w:gridCol w:w="1910"/>
        <w:gridCol w:w="948"/>
        <w:gridCol w:w="1280"/>
        <w:gridCol w:w="2346"/>
        <w:gridCol w:w="879"/>
        <w:gridCol w:w="830"/>
        <w:gridCol w:w="1153"/>
      </w:tblGrid>
      <w:tr w:rsidR="00076562" w:rsidRPr="00DD125B" w14:paraId="2A17EB16" w14:textId="77777777" w:rsidTr="00076562">
        <w:trPr>
          <w:trHeight w:val="170"/>
          <w:tblHeader/>
        </w:trPr>
        <w:tc>
          <w:tcPr>
            <w:tcW w:w="102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BB709C" w14:textId="77777777" w:rsidR="00076562" w:rsidRPr="00DD125B" w:rsidRDefault="00076562" w:rsidP="004B4F0B">
            <w:pPr>
              <w:jc w:val="center"/>
              <w:rPr>
                <w:rFonts w:cs="Arial"/>
                <w:color w:val="000000"/>
                <w:sz w:val="13"/>
                <w:szCs w:val="13"/>
                <w:lang w:eastAsia="es-CO"/>
              </w:rPr>
            </w:pPr>
            <w:r w:rsidRPr="000E727A">
              <w:rPr>
                <w:rFonts w:cs="Arial"/>
                <w:b/>
                <w:bCs/>
                <w:color w:val="000000"/>
                <w:sz w:val="13"/>
                <w:szCs w:val="13"/>
                <w:lang w:eastAsia="es-CO"/>
              </w:rPr>
              <w:t>Municipio</w:t>
            </w:r>
          </w:p>
        </w:tc>
        <w:tc>
          <w:tcPr>
            <w:tcW w:w="5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DBFFF0" w14:textId="77777777" w:rsidR="00076562" w:rsidRPr="00DD125B" w:rsidRDefault="00076562" w:rsidP="004B4F0B">
            <w:pPr>
              <w:jc w:val="center"/>
              <w:rPr>
                <w:rFonts w:cs="Arial"/>
                <w:color w:val="000000"/>
                <w:sz w:val="13"/>
                <w:szCs w:val="13"/>
                <w:lang w:eastAsia="es-CO"/>
              </w:rPr>
            </w:pPr>
            <w:r>
              <w:rPr>
                <w:rFonts w:cs="Arial"/>
                <w:b/>
                <w:bCs/>
                <w:color w:val="000000"/>
                <w:sz w:val="13"/>
                <w:szCs w:val="13"/>
                <w:lang w:eastAsia="es-CO"/>
              </w:rPr>
              <w:t>Código UC</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F69047" w14:textId="77777777" w:rsidR="00076562" w:rsidRPr="00DD125B" w:rsidRDefault="00076562" w:rsidP="004B4F0B">
            <w:pPr>
              <w:jc w:val="center"/>
              <w:rPr>
                <w:rFonts w:cs="Arial"/>
                <w:color w:val="000000"/>
                <w:sz w:val="13"/>
                <w:szCs w:val="13"/>
                <w:lang w:eastAsia="es-CO"/>
              </w:rPr>
            </w:pPr>
            <w:r w:rsidRPr="000E727A">
              <w:rPr>
                <w:rFonts w:cs="Arial"/>
                <w:b/>
                <w:bCs/>
                <w:color w:val="000000"/>
                <w:sz w:val="13"/>
                <w:szCs w:val="13"/>
                <w:lang w:eastAsia="es-CO"/>
              </w:rPr>
              <w:t>Costo</w:t>
            </w:r>
            <w:r>
              <w:rPr>
                <w:rFonts w:cs="Arial"/>
                <w:b/>
                <w:bCs/>
                <w:color w:val="000000"/>
                <w:sz w:val="13"/>
                <w:szCs w:val="13"/>
                <w:lang w:eastAsia="es-CO"/>
              </w:rPr>
              <w:t xml:space="preserve"> unitario</w:t>
            </w:r>
          </w:p>
        </w:tc>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9B175" w14:textId="77777777" w:rsidR="00076562" w:rsidRPr="00DD125B" w:rsidRDefault="00076562" w:rsidP="004B4F0B">
            <w:pPr>
              <w:jc w:val="center"/>
              <w:rPr>
                <w:rFonts w:cs="Arial"/>
                <w:color w:val="000000"/>
                <w:sz w:val="13"/>
                <w:szCs w:val="13"/>
                <w:lang w:eastAsia="es-CO"/>
              </w:rPr>
            </w:pPr>
            <w:r w:rsidRPr="000E727A">
              <w:rPr>
                <w:rFonts w:cs="Arial"/>
                <w:b/>
                <w:bCs/>
                <w:color w:val="000000"/>
                <w:sz w:val="13"/>
                <w:szCs w:val="13"/>
                <w:lang w:eastAsia="es-CO"/>
              </w:rPr>
              <w:t>Tipo de Inversión</w:t>
            </w:r>
          </w:p>
        </w:tc>
        <w:tc>
          <w:tcPr>
            <w:tcW w:w="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E9C226" w14:textId="77777777" w:rsidR="00076562" w:rsidRPr="00DD125B" w:rsidRDefault="00076562" w:rsidP="004B4F0B">
            <w:pPr>
              <w:jc w:val="center"/>
              <w:rPr>
                <w:rFonts w:cs="Arial"/>
                <w:color w:val="000000"/>
                <w:sz w:val="13"/>
                <w:szCs w:val="13"/>
                <w:lang w:eastAsia="es-CO"/>
              </w:rPr>
            </w:pPr>
            <w:r w:rsidRPr="000E727A">
              <w:rPr>
                <w:rFonts w:cs="Arial"/>
                <w:b/>
                <w:bCs/>
                <w:color w:val="000000"/>
                <w:sz w:val="13"/>
                <w:szCs w:val="13"/>
                <w:lang w:eastAsia="es-CO"/>
              </w:rPr>
              <w:t>Red</w:t>
            </w:r>
          </w:p>
        </w:tc>
        <w:tc>
          <w:tcPr>
            <w:tcW w:w="4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CA142F" w14:textId="0903FB4C" w:rsidR="00076562" w:rsidRPr="00DD125B" w:rsidRDefault="00076562" w:rsidP="004B4F0B">
            <w:pPr>
              <w:jc w:val="center"/>
              <w:rPr>
                <w:rFonts w:cs="Arial"/>
                <w:color w:val="000000"/>
                <w:sz w:val="13"/>
                <w:szCs w:val="13"/>
                <w:lang w:eastAsia="es-CO"/>
              </w:rPr>
            </w:pPr>
            <w:r>
              <w:rPr>
                <w:rFonts w:cs="Arial"/>
                <w:b/>
                <w:bCs/>
                <w:color w:val="000000"/>
                <w:sz w:val="13"/>
                <w:szCs w:val="13"/>
                <w:lang w:eastAsia="es-CO"/>
              </w:rPr>
              <w:t>Cantidad</w:t>
            </w:r>
          </w:p>
        </w:tc>
        <w:tc>
          <w:tcPr>
            <w:tcW w:w="6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E750399" w14:textId="7DD9872C" w:rsidR="00076562" w:rsidRPr="00076562" w:rsidRDefault="00076562" w:rsidP="004B4F0B">
            <w:pPr>
              <w:jc w:val="center"/>
              <w:rPr>
                <w:rFonts w:cs="Arial"/>
                <w:b/>
                <w:color w:val="000000"/>
                <w:sz w:val="13"/>
                <w:szCs w:val="13"/>
                <w:lang w:eastAsia="es-CO"/>
              </w:rPr>
            </w:pPr>
            <w:r w:rsidRPr="00076562">
              <w:rPr>
                <w:rFonts w:cs="Arial"/>
                <w:b/>
                <w:color w:val="000000"/>
                <w:sz w:val="13"/>
                <w:szCs w:val="13"/>
                <w:lang w:eastAsia="es-CO"/>
              </w:rPr>
              <w:t>Costo total</w:t>
            </w:r>
          </w:p>
        </w:tc>
      </w:tr>
      <w:tr w:rsidR="00076562" w:rsidRPr="00DD125B" w14:paraId="1864FFFF" w14:textId="77777777" w:rsidTr="00076562">
        <w:trPr>
          <w:trHeight w:val="77"/>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2710C"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Barranquilla-</w:t>
            </w:r>
            <w:r>
              <w:rPr>
                <w:rFonts w:cs="Arial"/>
                <w:color w:val="000000"/>
                <w:sz w:val="13"/>
                <w:szCs w:val="13"/>
                <w:lang w:eastAsia="es-CO"/>
              </w:rPr>
              <w:t>Atlántico</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14:paraId="5CD7D331"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TPE1/2CO</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5ECDE620"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23.730.287</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1C0245F9"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1E432DF6"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Secundaria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1246FB4E"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1.460,10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48239702"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34.648.592.042</w:t>
            </w:r>
          </w:p>
        </w:tc>
      </w:tr>
      <w:tr w:rsidR="00076562" w:rsidRPr="00DD125B" w14:paraId="19AD3EDD"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D8C0F"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Barranquilla-</w:t>
            </w:r>
            <w:r>
              <w:rPr>
                <w:rFonts w:cs="Arial"/>
                <w:color w:val="000000"/>
                <w:sz w:val="13"/>
                <w:szCs w:val="13"/>
                <w:lang w:eastAsia="es-CO"/>
              </w:rPr>
              <w:t>Atlántico</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14:paraId="03B32506"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TPE3/4CO</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0A9FF72D"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23.730.287</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35DA4254"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112F6736"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Secundaria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62973C29"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670,40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5EEBDDEA"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15.908.784.402</w:t>
            </w:r>
          </w:p>
        </w:tc>
      </w:tr>
      <w:tr w:rsidR="00076562" w:rsidRPr="00DD125B" w14:paraId="5BBD2C3B"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77621"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Barranquilla-</w:t>
            </w:r>
            <w:r>
              <w:rPr>
                <w:rFonts w:cs="Arial"/>
                <w:color w:val="000000"/>
                <w:sz w:val="13"/>
                <w:szCs w:val="13"/>
                <w:lang w:eastAsia="es-CO"/>
              </w:rPr>
              <w:t>Atlántico</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14:paraId="364B9573"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ERP 8T1</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0CB11EDE"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174.455.858</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01F9E612"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6AFBF596"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Primaria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5F096C69"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12,00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0790DEBA"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2.093.470.295</w:t>
            </w:r>
          </w:p>
        </w:tc>
      </w:tr>
      <w:tr w:rsidR="00076562" w:rsidRPr="00DD125B" w14:paraId="4EBEBDD7"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6C926"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Barranquilla-</w:t>
            </w:r>
            <w:r>
              <w:rPr>
                <w:rFonts w:cs="Arial"/>
                <w:color w:val="000000"/>
                <w:sz w:val="13"/>
                <w:szCs w:val="13"/>
                <w:lang w:eastAsia="es-CO"/>
              </w:rPr>
              <w:t>Atlántico</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F77FE"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TA4AS</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565B2629"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278.678.311</w:t>
            </w: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3D967"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3747E41D"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Primaria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5C070002"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3,30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1398248C"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919.638.426</w:t>
            </w:r>
          </w:p>
        </w:tc>
      </w:tr>
      <w:tr w:rsidR="00076562" w:rsidRPr="00DD125B" w14:paraId="2C1BB0A5"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5B6AD"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Barranquilla-</w:t>
            </w:r>
            <w:r>
              <w:rPr>
                <w:rFonts w:cs="Arial"/>
                <w:color w:val="000000"/>
                <w:sz w:val="13"/>
                <w:szCs w:val="13"/>
                <w:lang w:eastAsia="es-CO"/>
              </w:rPr>
              <w:t>Atlántico</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DCEF5"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TPE2AS</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56B96B1D"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54.240.655</w:t>
            </w: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F16C5"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4F29583C"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Primaria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002AD961"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199,08</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06E22114"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10.798.229.644</w:t>
            </w:r>
          </w:p>
        </w:tc>
      </w:tr>
      <w:tr w:rsidR="00076562" w:rsidRPr="00DD125B" w14:paraId="44B492AD"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46A85"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Barranquilla-</w:t>
            </w:r>
            <w:r>
              <w:rPr>
                <w:rFonts w:cs="Arial"/>
                <w:color w:val="000000"/>
                <w:sz w:val="13"/>
                <w:szCs w:val="13"/>
                <w:lang w:eastAsia="es-CO"/>
              </w:rPr>
              <w:t>Atlántico</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750EF"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TPE3AS</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6438D676"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54.240.655</w:t>
            </w: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84D72"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4F1013C9"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Primaria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36D3EC26"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55,10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7B173762"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2.988.660.103</w:t>
            </w:r>
          </w:p>
        </w:tc>
      </w:tr>
      <w:tr w:rsidR="00076562" w:rsidRPr="00DD125B" w14:paraId="143D9073"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BDC39"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Barranquilla-</w:t>
            </w:r>
            <w:r>
              <w:rPr>
                <w:rFonts w:cs="Arial"/>
                <w:color w:val="000000"/>
                <w:sz w:val="13"/>
                <w:szCs w:val="13"/>
                <w:lang w:eastAsia="es-CO"/>
              </w:rPr>
              <w:t>Atlántico</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C6DB1"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TPE4AS</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0B390A3A"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54.240.655</w:t>
            </w:r>
          </w:p>
        </w:tc>
        <w:tc>
          <w:tcPr>
            <w:tcW w:w="1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A0E57"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0214ED16"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Primaria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77D8116C"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39,50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3721516D"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2.142.505.882</w:t>
            </w:r>
          </w:p>
        </w:tc>
      </w:tr>
      <w:tr w:rsidR="00076562" w:rsidRPr="00DD125B" w14:paraId="26D2CE12"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DE8F1"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Barranquilla-</w:t>
            </w:r>
            <w:r>
              <w:rPr>
                <w:rFonts w:cs="Arial"/>
                <w:color w:val="000000"/>
                <w:sz w:val="13"/>
                <w:szCs w:val="13"/>
                <w:lang w:eastAsia="es-CO"/>
              </w:rPr>
              <w:t>Atlántico</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E3A24" w14:textId="77777777" w:rsidR="00076562" w:rsidRPr="00DD125B" w:rsidRDefault="00076562" w:rsidP="004B4F0B">
            <w:pPr>
              <w:rPr>
                <w:rFonts w:cs="Arial"/>
                <w:color w:val="000000"/>
                <w:sz w:val="13"/>
                <w:szCs w:val="13"/>
                <w:lang w:eastAsia="es-CO"/>
              </w:rPr>
            </w:pPr>
            <w:r>
              <w:rPr>
                <w:rFonts w:cs="Arial"/>
                <w:color w:val="000000"/>
                <w:sz w:val="13"/>
                <w:szCs w:val="13"/>
                <w:lang w:eastAsia="es-CO"/>
              </w:rPr>
              <w:t>TA3AS</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97A0D"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155.461.337</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03FC320C"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Especiales</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7D18AA5B"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Primaria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364C6782"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0,87</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2C2BC935"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135.251.363</w:t>
            </w:r>
          </w:p>
        </w:tc>
      </w:tr>
      <w:tr w:rsidR="00076562" w:rsidRPr="00DD125B" w14:paraId="394A9274"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5DE3"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Barranquilla-</w:t>
            </w:r>
            <w:r>
              <w:rPr>
                <w:rFonts w:cs="Arial"/>
                <w:color w:val="000000"/>
                <w:sz w:val="13"/>
                <w:szCs w:val="13"/>
                <w:lang w:eastAsia="es-CO"/>
              </w:rPr>
              <w:t>Atlántico</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67CAC"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TA4AS</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99699"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180.759.646</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403331B2"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Especiales</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07065BF4"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Primaria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1A0266FA"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7,46</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6935354C"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1.348.466.962</w:t>
            </w:r>
          </w:p>
        </w:tc>
      </w:tr>
      <w:tr w:rsidR="00076562" w:rsidRPr="00DD125B" w14:paraId="2314D624"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150EA"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Barranquilla-</w:t>
            </w:r>
            <w:r>
              <w:rPr>
                <w:rFonts w:cs="Arial"/>
                <w:color w:val="000000"/>
                <w:sz w:val="13"/>
                <w:szCs w:val="13"/>
                <w:lang w:eastAsia="es-CO"/>
              </w:rPr>
              <w:t>Atlántico</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A2CF9"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TA6AS</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C31FC"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277.318.563</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18A66F2F"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Especiales</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4404215C"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Primaria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6D80A49B"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0,71</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7B37B482"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196.896.180</w:t>
            </w:r>
          </w:p>
        </w:tc>
      </w:tr>
      <w:tr w:rsidR="00076562" w:rsidRPr="00DD125B" w14:paraId="42556B34"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353E2"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Valledupar-Cesar</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5DD97"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TPE3AS</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2D78C"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54.240.655</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63A41310"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287C3ABC"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Primaria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40E603AE"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0,02</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53280BB1"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1.149.902</w:t>
            </w:r>
          </w:p>
        </w:tc>
      </w:tr>
      <w:tr w:rsidR="00076562" w:rsidRPr="00DD125B" w14:paraId="35045365"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E84ED"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Valledupar-Cesar</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E6C88"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TA4AS</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6A7F4"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278.678.315</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22F5E993"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4F0E6D24"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Primaria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777DEC85"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1,40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34E7A07B"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390.149.641</w:t>
            </w:r>
          </w:p>
        </w:tc>
      </w:tr>
      <w:tr w:rsidR="00076562" w:rsidRPr="00DD125B" w14:paraId="2B24CAFF"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012D3"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Valledupar-Cesar</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EE6EB"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TA6AS</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9D0B"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278.678.315</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458E670B"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0313E5BE"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Primaria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2D616E36"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5,20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0DCDCC57"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1.449.127.238</w:t>
            </w:r>
          </w:p>
        </w:tc>
      </w:tr>
      <w:tr w:rsidR="00076562" w:rsidRPr="00DD125B" w14:paraId="3807FAE2"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C649D"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Valledupar-Cesar</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CBBEB"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TPE4AS</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1FAE3"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54.240.655</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73C2D278"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1411371D"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Primaria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737C0E34"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0,01</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7939C358"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477.318</w:t>
            </w:r>
          </w:p>
        </w:tc>
      </w:tr>
      <w:tr w:rsidR="00076562" w:rsidRPr="00DD125B" w14:paraId="61434710"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089F1"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Valledupar-Cesar</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8B439"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TPE1/2CO</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6C818"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23.730.287</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7987354E"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5314E373"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Secundaria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6366A531"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10,95</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73DC30A6"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259.858.508</w:t>
            </w:r>
          </w:p>
        </w:tc>
      </w:tr>
      <w:tr w:rsidR="00076562" w:rsidRPr="00DD125B" w14:paraId="6DD6A8A7"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A2D44"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Valledupar-Cesar</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77E98"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TPE3/4CO</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04E7C"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23.730.287</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5F0FA68A"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7674DE83"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Secundaria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7C893462"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106,00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36AB89EA"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2.515.410.422</w:t>
            </w:r>
          </w:p>
        </w:tc>
      </w:tr>
      <w:tr w:rsidR="00076562" w:rsidRPr="00DD125B" w14:paraId="6332C79D"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0F5EB"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Valledupar-Cesar</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71DE7"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TPE1CO</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2DF1E"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54.240.655</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4D363E37"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34FDA64A"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Secundaria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01E1245A"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0,40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353C3E67"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21.750.503</w:t>
            </w:r>
          </w:p>
        </w:tc>
      </w:tr>
      <w:tr w:rsidR="00076562" w:rsidRPr="00DD125B" w14:paraId="0A999CF3"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0CCD8"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Valledupar-Cesar</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F4925"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ERP 8T1</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5DFA4"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174.455.858</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17E17032"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3E99EAEE"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Primaria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31D69237"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1,00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0FB41516"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174.455.858</w:t>
            </w:r>
          </w:p>
        </w:tc>
      </w:tr>
      <w:tr w:rsidR="00076562" w:rsidRPr="00DD125B" w14:paraId="7EFE296F"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6D358"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 xml:space="preserve">La </w:t>
            </w:r>
            <w:r>
              <w:rPr>
                <w:rFonts w:cs="Arial"/>
                <w:color w:val="000000"/>
                <w:sz w:val="13"/>
                <w:szCs w:val="13"/>
                <w:lang w:eastAsia="es-CO"/>
              </w:rPr>
              <w:t>Paz</w:t>
            </w:r>
            <w:r w:rsidRPr="00DD125B">
              <w:rPr>
                <w:rFonts w:cs="Arial"/>
                <w:color w:val="000000"/>
                <w:sz w:val="13"/>
                <w:szCs w:val="13"/>
                <w:lang w:eastAsia="es-CO"/>
              </w:rPr>
              <w:t>-Cesar</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6B23B"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TPE1/2CO</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0646A"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23.730.287</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6AC90E52"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3E375B7F"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Secundaria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6CBDECC7"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10,20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4D317FBC"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242.048.927</w:t>
            </w:r>
          </w:p>
        </w:tc>
      </w:tr>
      <w:tr w:rsidR="00076562" w:rsidRPr="00DD125B" w14:paraId="6F5F263F"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874DE"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 xml:space="preserve">La </w:t>
            </w:r>
            <w:r>
              <w:rPr>
                <w:rFonts w:cs="Arial"/>
                <w:color w:val="000000"/>
                <w:sz w:val="13"/>
                <w:szCs w:val="13"/>
                <w:lang w:eastAsia="es-CO"/>
              </w:rPr>
              <w:t>Paz</w:t>
            </w:r>
            <w:r w:rsidRPr="00DD125B">
              <w:rPr>
                <w:rFonts w:cs="Arial"/>
                <w:color w:val="000000"/>
                <w:sz w:val="13"/>
                <w:szCs w:val="13"/>
                <w:lang w:eastAsia="es-CO"/>
              </w:rPr>
              <w:t>-Cesar</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85811"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TPE3/4CO</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761E8"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23.730.287</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05540A67"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041FD47C"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Secundaria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54273BF6"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48,14</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00343EF0"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1.142.376.016</w:t>
            </w:r>
          </w:p>
        </w:tc>
      </w:tr>
      <w:tr w:rsidR="00076562" w:rsidRPr="00DD125B" w14:paraId="5B45E740"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B2D69"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 xml:space="preserve">La </w:t>
            </w:r>
            <w:r>
              <w:rPr>
                <w:rFonts w:cs="Arial"/>
                <w:color w:val="000000"/>
                <w:sz w:val="13"/>
                <w:szCs w:val="13"/>
                <w:lang w:eastAsia="es-CO"/>
              </w:rPr>
              <w:t>Paz</w:t>
            </w:r>
            <w:r w:rsidRPr="00DD125B">
              <w:rPr>
                <w:rFonts w:cs="Arial"/>
                <w:color w:val="000000"/>
                <w:sz w:val="13"/>
                <w:szCs w:val="13"/>
                <w:lang w:eastAsia="es-CO"/>
              </w:rPr>
              <w:t>-Cesar</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9D402"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TPE3AS</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739C7"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54.240.655</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3DA05418"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4AC6FD87"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Primaria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4EF8F198"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0,90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3F592DFC"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48.816.590</w:t>
            </w:r>
          </w:p>
        </w:tc>
      </w:tr>
      <w:tr w:rsidR="00076562" w:rsidRPr="00DD125B" w14:paraId="490BED86"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55FC3"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 xml:space="preserve">La </w:t>
            </w:r>
            <w:r>
              <w:rPr>
                <w:rFonts w:cs="Arial"/>
                <w:color w:val="000000"/>
                <w:sz w:val="13"/>
                <w:szCs w:val="13"/>
                <w:lang w:eastAsia="es-CO"/>
              </w:rPr>
              <w:t>Paz</w:t>
            </w:r>
            <w:r w:rsidRPr="00DD125B">
              <w:rPr>
                <w:rFonts w:cs="Arial"/>
                <w:color w:val="000000"/>
                <w:sz w:val="13"/>
                <w:szCs w:val="13"/>
                <w:lang w:eastAsia="es-CO"/>
              </w:rPr>
              <w:t>-Cesar</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789B0"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TPE4AS</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A1A93"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54.240.655</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558A59FC"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37AAF78F"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Primaria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34E7E8B7"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5,80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3FD77E0F"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314.595.800</w:t>
            </w:r>
          </w:p>
        </w:tc>
      </w:tr>
      <w:tr w:rsidR="00076562" w:rsidRPr="00DD125B" w14:paraId="002AC985"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412FB"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 xml:space="preserve">La </w:t>
            </w:r>
            <w:r>
              <w:rPr>
                <w:rFonts w:cs="Arial"/>
                <w:color w:val="000000"/>
                <w:sz w:val="13"/>
                <w:szCs w:val="13"/>
                <w:lang w:eastAsia="es-CO"/>
              </w:rPr>
              <w:t>Paz</w:t>
            </w:r>
            <w:r w:rsidRPr="00DD125B">
              <w:rPr>
                <w:rFonts w:cs="Arial"/>
                <w:color w:val="000000"/>
                <w:sz w:val="13"/>
                <w:szCs w:val="13"/>
                <w:lang w:eastAsia="es-CO"/>
              </w:rPr>
              <w:t>-Cesar</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1733"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TPE6AS</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BEE91"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54.240.655</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737C3838"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7F85ACCF"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Primaria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464373C4"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1,40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24BCF5B4"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75.936.917</w:t>
            </w:r>
          </w:p>
        </w:tc>
      </w:tr>
      <w:tr w:rsidR="00076562" w:rsidRPr="00DD125B" w14:paraId="65D815E3"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1BCE9" w14:textId="77777777" w:rsidR="00076562" w:rsidRPr="00DD125B" w:rsidRDefault="00076562" w:rsidP="004B4F0B">
            <w:pPr>
              <w:rPr>
                <w:rFonts w:cs="Arial"/>
                <w:color w:val="000000"/>
                <w:sz w:val="13"/>
                <w:szCs w:val="13"/>
                <w:lang w:eastAsia="es-CO"/>
              </w:rPr>
            </w:pPr>
            <w:proofErr w:type="spellStart"/>
            <w:r w:rsidRPr="00DD125B">
              <w:rPr>
                <w:rFonts w:cs="Arial"/>
                <w:color w:val="000000"/>
                <w:sz w:val="13"/>
                <w:szCs w:val="13"/>
                <w:lang w:eastAsia="es-CO"/>
              </w:rPr>
              <w:t>Baranoa</w:t>
            </w:r>
            <w:proofErr w:type="spellEnd"/>
            <w:r w:rsidRPr="00DD125B">
              <w:rPr>
                <w:rFonts w:cs="Arial"/>
                <w:color w:val="000000"/>
                <w:sz w:val="13"/>
                <w:szCs w:val="13"/>
                <w:lang w:eastAsia="es-CO"/>
              </w:rPr>
              <w:t>-</w:t>
            </w:r>
            <w:r>
              <w:rPr>
                <w:rFonts w:cs="Arial"/>
                <w:color w:val="000000"/>
                <w:sz w:val="13"/>
                <w:szCs w:val="13"/>
                <w:lang w:eastAsia="es-CO"/>
              </w:rPr>
              <w:t>Atlántico</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8FA01"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TPE1/2CO</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BDD84"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23.730.287</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51BDF309"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7F217130"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Secundaria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4100453C"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47,96</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426CDFF2"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1.138.104.564</w:t>
            </w:r>
          </w:p>
        </w:tc>
      </w:tr>
      <w:tr w:rsidR="00076562" w:rsidRPr="00DD125B" w14:paraId="4C150D1E"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C908A" w14:textId="77777777" w:rsidR="00076562" w:rsidRPr="00DD125B" w:rsidRDefault="00076562" w:rsidP="004B4F0B">
            <w:pPr>
              <w:rPr>
                <w:rFonts w:cs="Arial"/>
                <w:color w:val="000000"/>
                <w:sz w:val="13"/>
                <w:szCs w:val="13"/>
                <w:lang w:eastAsia="es-CO"/>
              </w:rPr>
            </w:pPr>
            <w:proofErr w:type="spellStart"/>
            <w:r w:rsidRPr="00DD125B">
              <w:rPr>
                <w:rFonts w:cs="Arial"/>
                <w:color w:val="000000"/>
                <w:sz w:val="13"/>
                <w:szCs w:val="13"/>
                <w:lang w:eastAsia="es-CO"/>
              </w:rPr>
              <w:t>Baranoa</w:t>
            </w:r>
            <w:proofErr w:type="spellEnd"/>
            <w:r w:rsidRPr="00DD125B">
              <w:rPr>
                <w:rFonts w:cs="Arial"/>
                <w:color w:val="000000"/>
                <w:sz w:val="13"/>
                <w:szCs w:val="13"/>
                <w:lang w:eastAsia="es-CO"/>
              </w:rPr>
              <w:t>-</w:t>
            </w:r>
            <w:r>
              <w:rPr>
                <w:rFonts w:cs="Arial"/>
                <w:color w:val="000000"/>
                <w:sz w:val="13"/>
                <w:szCs w:val="13"/>
                <w:lang w:eastAsia="es-CO"/>
              </w:rPr>
              <w:t>Atlántico</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1C744"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TPE3/4CO</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639F8"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23.730.287</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0A7AB6C3"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20C21E40"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Secundaria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520F34B2"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40,13</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2C657A64"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952.296.417</w:t>
            </w:r>
          </w:p>
        </w:tc>
      </w:tr>
      <w:tr w:rsidR="00076562" w:rsidRPr="00DD125B" w14:paraId="78D3F9B0"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519FA" w14:textId="77777777" w:rsidR="00076562" w:rsidRPr="00DD125B" w:rsidRDefault="00076562" w:rsidP="004B4F0B">
            <w:pPr>
              <w:rPr>
                <w:rFonts w:cs="Arial"/>
                <w:color w:val="000000"/>
                <w:sz w:val="13"/>
                <w:szCs w:val="13"/>
                <w:lang w:eastAsia="es-CO"/>
              </w:rPr>
            </w:pPr>
            <w:proofErr w:type="spellStart"/>
            <w:r w:rsidRPr="00DD125B">
              <w:rPr>
                <w:rFonts w:cs="Arial"/>
                <w:color w:val="000000"/>
                <w:sz w:val="13"/>
                <w:szCs w:val="13"/>
                <w:lang w:eastAsia="es-CO"/>
              </w:rPr>
              <w:t>Baranoa</w:t>
            </w:r>
            <w:proofErr w:type="spellEnd"/>
            <w:r w:rsidRPr="00DD125B">
              <w:rPr>
                <w:rFonts w:cs="Arial"/>
                <w:color w:val="000000"/>
                <w:sz w:val="13"/>
                <w:szCs w:val="13"/>
                <w:lang w:eastAsia="es-CO"/>
              </w:rPr>
              <w:t>-</w:t>
            </w:r>
            <w:r>
              <w:rPr>
                <w:rFonts w:cs="Arial"/>
                <w:color w:val="000000"/>
                <w:sz w:val="13"/>
                <w:szCs w:val="13"/>
                <w:lang w:eastAsia="es-CO"/>
              </w:rPr>
              <w:t>Atlántico</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2831A"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TPE2AS</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C833E"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54.240.655</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0AD3B2AD"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767A3F75"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Primaria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4AE15693"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10,60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41C334F9"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574.950.945</w:t>
            </w:r>
          </w:p>
        </w:tc>
      </w:tr>
      <w:tr w:rsidR="00076562" w:rsidRPr="00DD125B" w14:paraId="7EC1B607" w14:textId="77777777" w:rsidTr="00076562">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ECED8" w14:textId="77777777" w:rsidR="00076562" w:rsidRPr="00DD125B" w:rsidRDefault="00076562" w:rsidP="004B4F0B">
            <w:pPr>
              <w:rPr>
                <w:rFonts w:cs="Arial"/>
                <w:color w:val="000000"/>
                <w:sz w:val="13"/>
                <w:szCs w:val="13"/>
                <w:lang w:eastAsia="es-CO"/>
              </w:rPr>
            </w:pPr>
            <w:proofErr w:type="spellStart"/>
            <w:r w:rsidRPr="00DD125B">
              <w:rPr>
                <w:rFonts w:cs="Arial"/>
                <w:color w:val="000000"/>
                <w:sz w:val="13"/>
                <w:szCs w:val="13"/>
                <w:lang w:eastAsia="es-CO"/>
              </w:rPr>
              <w:t>Baranoa</w:t>
            </w:r>
            <w:proofErr w:type="spellEnd"/>
            <w:r w:rsidRPr="00DD125B">
              <w:rPr>
                <w:rFonts w:cs="Arial"/>
                <w:color w:val="000000"/>
                <w:sz w:val="13"/>
                <w:szCs w:val="13"/>
                <w:lang w:eastAsia="es-CO"/>
              </w:rPr>
              <w:t>-</w:t>
            </w:r>
            <w:r>
              <w:rPr>
                <w:rFonts w:cs="Arial"/>
                <w:color w:val="000000"/>
                <w:sz w:val="13"/>
                <w:szCs w:val="13"/>
                <w:lang w:eastAsia="es-CO"/>
              </w:rPr>
              <w:t>Atlántico</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222AF"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TPE4AS</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99B45" w14:textId="77777777" w:rsidR="00076562" w:rsidRPr="00DD125B" w:rsidRDefault="00076562" w:rsidP="004B4F0B">
            <w:pPr>
              <w:jc w:val="right"/>
              <w:rPr>
                <w:rFonts w:cs="Arial"/>
                <w:color w:val="000000"/>
                <w:sz w:val="13"/>
                <w:szCs w:val="13"/>
                <w:lang w:eastAsia="es-CO"/>
              </w:rPr>
            </w:pPr>
            <w:r>
              <w:rPr>
                <w:rFonts w:cs="Arial"/>
                <w:color w:val="000000"/>
                <w:sz w:val="13"/>
                <w:szCs w:val="13"/>
                <w:lang w:eastAsia="es-CO"/>
              </w:rPr>
              <w:t>54.240.655</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76367E1B" w14:textId="77777777" w:rsidR="00076562" w:rsidRPr="00DD125B" w:rsidRDefault="00076562" w:rsidP="004B4F0B">
            <w:pPr>
              <w:rPr>
                <w:rFonts w:cs="Arial"/>
                <w:color w:val="000000"/>
                <w:sz w:val="13"/>
                <w:szCs w:val="13"/>
                <w:lang w:eastAsia="es-CO"/>
              </w:rPr>
            </w:pPr>
            <w:r w:rsidRPr="00DD125B">
              <w:rPr>
                <w:rFonts w:cs="Arial"/>
                <w:color w:val="000000"/>
                <w:sz w:val="13"/>
                <w:szCs w:val="13"/>
                <w:lang w:eastAsia="es-CO"/>
              </w:rPr>
              <w:t>Activos Inherentes a la Operación</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2390BC0F" w14:textId="77777777" w:rsidR="00076562" w:rsidRPr="00DD125B" w:rsidRDefault="00076562" w:rsidP="004B4F0B">
            <w:pPr>
              <w:jc w:val="center"/>
              <w:rPr>
                <w:rFonts w:cs="Arial"/>
                <w:color w:val="000000"/>
                <w:sz w:val="13"/>
                <w:szCs w:val="13"/>
                <w:lang w:eastAsia="es-CO"/>
              </w:rPr>
            </w:pPr>
            <w:r w:rsidRPr="00DD125B">
              <w:rPr>
                <w:rFonts w:cs="Arial"/>
                <w:color w:val="000000"/>
                <w:sz w:val="13"/>
                <w:szCs w:val="13"/>
                <w:lang w:eastAsia="es-CO"/>
              </w:rPr>
              <w:t>Primaria</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028B54CF"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13,70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36413602" w14:textId="77777777" w:rsidR="00076562" w:rsidRPr="00DD125B" w:rsidRDefault="00076562" w:rsidP="004B4F0B">
            <w:pPr>
              <w:jc w:val="right"/>
              <w:rPr>
                <w:rFonts w:cs="Arial"/>
                <w:color w:val="000000"/>
                <w:sz w:val="13"/>
                <w:szCs w:val="13"/>
                <w:lang w:eastAsia="es-CO"/>
              </w:rPr>
            </w:pPr>
            <w:r w:rsidRPr="00DD125B">
              <w:rPr>
                <w:rFonts w:cs="Arial"/>
                <w:color w:val="000000"/>
                <w:sz w:val="13"/>
                <w:szCs w:val="13"/>
                <w:lang w:eastAsia="es-CO"/>
              </w:rPr>
              <w:t>743.096.977</w:t>
            </w:r>
          </w:p>
        </w:tc>
      </w:tr>
    </w:tbl>
    <w:p w14:paraId="3E409BAD" w14:textId="061060C1" w:rsidR="00076562" w:rsidRDefault="002D5FA8" w:rsidP="0032167A">
      <w:pPr>
        <w:spacing w:before="240" w:after="240"/>
        <w:rPr>
          <w:lang w:val="es-ES_tradnl"/>
        </w:rPr>
      </w:pPr>
      <w:r>
        <w:rPr>
          <w:lang w:val="es-ES_tradnl"/>
        </w:rPr>
        <w:t xml:space="preserve">Se comparan las Inversiones Existentes aprobadas en los Anexo 4 y 5 de la Resolución CREG 202 de 2013 con las reconocidas en el cargo de la Resolución CREG 198 de 2017. Este análisis se realiza para las unidades constructivas para las cuales la empresa GASES DEL CARIBE S.A. E.S.P. manifiesta que existen diferencias y para los municipios objeto del recurso (Barranquilla, </w:t>
      </w:r>
      <w:proofErr w:type="spellStart"/>
      <w:r>
        <w:rPr>
          <w:lang w:val="es-ES_tradnl"/>
        </w:rPr>
        <w:t>Baranoa</w:t>
      </w:r>
      <w:proofErr w:type="spellEnd"/>
      <w:r>
        <w:rPr>
          <w:lang w:val="es-ES_tradnl"/>
        </w:rPr>
        <w:t xml:space="preserve">, Valledupar y La Paz). En el Cuadro </w:t>
      </w:r>
      <w:r w:rsidR="00BE7331">
        <w:rPr>
          <w:lang w:val="es-ES_tradnl"/>
        </w:rPr>
        <w:t>7</w:t>
      </w:r>
      <w:r>
        <w:rPr>
          <w:lang w:val="es-ES_tradnl"/>
        </w:rPr>
        <w:t xml:space="preserve"> se muestran las diferencias encontradas.</w:t>
      </w:r>
    </w:p>
    <w:p w14:paraId="57475831" w14:textId="5C6C65FA" w:rsidR="007632B6" w:rsidRPr="002D5FA8" w:rsidRDefault="002D5FA8" w:rsidP="002D5FA8">
      <w:pPr>
        <w:keepNext/>
        <w:spacing w:before="240" w:after="120"/>
        <w:jc w:val="center"/>
        <w:rPr>
          <w:b/>
          <w:lang w:val="es-ES_tradnl"/>
        </w:rPr>
      </w:pPr>
      <w:r w:rsidRPr="002D5FA8">
        <w:rPr>
          <w:b/>
          <w:lang w:val="es-ES_tradnl"/>
        </w:rPr>
        <w:t>Cu</w:t>
      </w:r>
      <w:r w:rsidR="00BE7331">
        <w:rPr>
          <w:b/>
          <w:lang w:val="es-ES_tradnl"/>
        </w:rPr>
        <w:t>adro 7</w:t>
      </w:r>
      <w:r w:rsidRPr="002D5FA8">
        <w:rPr>
          <w:b/>
          <w:lang w:val="es-ES_tradn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853"/>
        <w:gridCol w:w="995"/>
        <w:gridCol w:w="991"/>
        <w:gridCol w:w="709"/>
        <w:gridCol w:w="896"/>
        <w:gridCol w:w="806"/>
        <w:gridCol w:w="851"/>
        <w:gridCol w:w="707"/>
        <w:gridCol w:w="847"/>
      </w:tblGrid>
      <w:tr w:rsidR="007632B6" w:rsidRPr="008D0D1A" w14:paraId="623246F8" w14:textId="77777777" w:rsidTr="002D5FA8">
        <w:trPr>
          <w:trHeight w:val="391"/>
          <w:tblHeader/>
        </w:trPr>
        <w:tc>
          <w:tcPr>
            <w:tcW w:w="907" w:type="pct"/>
            <w:tcBorders>
              <w:top w:val="nil"/>
              <w:left w:val="nil"/>
              <w:bottom w:val="nil"/>
              <w:right w:val="nil"/>
            </w:tcBorders>
            <w:shd w:val="clear" w:color="auto" w:fill="auto"/>
            <w:noWrap/>
            <w:vAlign w:val="bottom"/>
            <w:hideMark/>
          </w:tcPr>
          <w:p w14:paraId="5E0BDC07" w14:textId="77777777" w:rsidR="007632B6" w:rsidRPr="008D0D1A" w:rsidRDefault="007632B6" w:rsidP="004B4F0B">
            <w:pPr>
              <w:jc w:val="left"/>
              <w:rPr>
                <w:sz w:val="13"/>
                <w:szCs w:val="13"/>
                <w:lang w:val="es-CO" w:eastAsia="es-CO"/>
              </w:rPr>
            </w:pPr>
          </w:p>
        </w:tc>
        <w:tc>
          <w:tcPr>
            <w:tcW w:w="456" w:type="pct"/>
            <w:tcBorders>
              <w:top w:val="nil"/>
              <w:left w:val="nil"/>
              <w:bottom w:val="nil"/>
              <w:right w:val="nil"/>
            </w:tcBorders>
            <w:shd w:val="clear" w:color="auto" w:fill="auto"/>
            <w:noWrap/>
            <w:vAlign w:val="bottom"/>
            <w:hideMark/>
          </w:tcPr>
          <w:p w14:paraId="0804DBAD" w14:textId="77777777" w:rsidR="007632B6" w:rsidRPr="008D0D1A" w:rsidRDefault="007632B6" w:rsidP="004B4F0B">
            <w:pPr>
              <w:jc w:val="left"/>
              <w:rPr>
                <w:sz w:val="13"/>
                <w:szCs w:val="13"/>
                <w:lang w:val="es-CO" w:eastAsia="es-CO"/>
              </w:rPr>
            </w:pPr>
          </w:p>
        </w:tc>
        <w:tc>
          <w:tcPr>
            <w:tcW w:w="532" w:type="pct"/>
            <w:tcBorders>
              <w:top w:val="nil"/>
              <w:left w:val="nil"/>
              <w:bottom w:val="nil"/>
              <w:right w:val="nil"/>
            </w:tcBorders>
            <w:shd w:val="clear" w:color="auto" w:fill="auto"/>
            <w:noWrap/>
            <w:vAlign w:val="bottom"/>
            <w:hideMark/>
          </w:tcPr>
          <w:p w14:paraId="3D6C3B3D" w14:textId="77777777" w:rsidR="007632B6" w:rsidRPr="008D0D1A" w:rsidRDefault="007632B6" w:rsidP="004B4F0B">
            <w:pPr>
              <w:jc w:val="left"/>
              <w:rPr>
                <w:sz w:val="13"/>
                <w:szCs w:val="13"/>
                <w:lang w:val="es-CO" w:eastAsia="es-CO"/>
              </w:rPr>
            </w:pPr>
          </w:p>
        </w:tc>
        <w:tc>
          <w:tcPr>
            <w:tcW w:w="530" w:type="pct"/>
            <w:tcBorders>
              <w:top w:val="nil"/>
              <w:left w:val="nil"/>
              <w:bottom w:val="nil"/>
              <w:right w:val="single" w:sz="4" w:space="0" w:color="auto"/>
            </w:tcBorders>
            <w:shd w:val="clear" w:color="auto" w:fill="auto"/>
            <w:noWrap/>
            <w:vAlign w:val="bottom"/>
            <w:hideMark/>
          </w:tcPr>
          <w:p w14:paraId="7C296042" w14:textId="77777777" w:rsidR="007632B6" w:rsidRPr="008D0D1A" w:rsidRDefault="007632B6" w:rsidP="004B4F0B">
            <w:pPr>
              <w:jc w:val="left"/>
              <w:rPr>
                <w:sz w:val="13"/>
                <w:szCs w:val="13"/>
                <w:lang w:val="es-CO" w:eastAsia="es-CO"/>
              </w:rPr>
            </w:pPr>
          </w:p>
        </w:tc>
        <w:tc>
          <w:tcPr>
            <w:tcW w:w="858" w:type="pct"/>
            <w:gridSpan w:val="2"/>
            <w:tcBorders>
              <w:left w:val="single" w:sz="4" w:space="0" w:color="auto"/>
            </w:tcBorders>
            <w:shd w:val="clear" w:color="auto" w:fill="D9D9D9" w:themeFill="background1" w:themeFillShade="D9"/>
            <w:noWrap/>
            <w:vAlign w:val="center"/>
            <w:hideMark/>
          </w:tcPr>
          <w:p w14:paraId="5A5EC0A8" w14:textId="77777777" w:rsidR="007632B6" w:rsidRPr="008D0D1A" w:rsidRDefault="007632B6" w:rsidP="004B4F0B">
            <w:pPr>
              <w:jc w:val="center"/>
              <w:rPr>
                <w:b/>
                <w:color w:val="000000"/>
                <w:sz w:val="13"/>
                <w:szCs w:val="13"/>
                <w:lang w:val="es-CO" w:eastAsia="es-CO"/>
              </w:rPr>
            </w:pPr>
            <w:r w:rsidRPr="008D0D1A">
              <w:rPr>
                <w:b/>
                <w:color w:val="000000"/>
                <w:sz w:val="13"/>
                <w:szCs w:val="13"/>
                <w:lang w:eastAsia="es-CO"/>
              </w:rPr>
              <w:t>Res. CREG 198 de 2017</w:t>
            </w:r>
          </w:p>
        </w:tc>
        <w:tc>
          <w:tcPr>
            <w:tcW w:w="886" w:type="pct"/>
            <w:gridSpan w:val="2"/>
            <w:shd w:val="clear" w:color="auto" w:fill="D9D9D9" w:themeFill="background1" w:themeFillShade="D9"/>
            <w:noWrap/>
            <w:vAlign w:val="center"/>
          </w:tcPr>
          <w:p w14:paraId="0011D077" w14:textId="77777777" w:rsidR="007632B6" w:rsidRPr="008D0D1A" w:rsidRDefault="007632B6" w:rsidP="004B4F0B">
            <w:pPr>
              <w:jc w:val="center"/>
              <w:rPr>
                <w:b/>
                <w:color w:val="000000"/>
                <w:sz w:val="13"/>
                <w:szCs w:val="13"/>
                <w:lang w:val="es-CO" w:eastAsia="es-CO"/>
              </w:rPr>
            </w:pPr>
            <w:r w:rsidRPr="008D0D1A">
              <w:rPr>
                <w:b/>
                <w:color w:val="000000"/>
                <w:sz w:val="13"/>
                <w:szCs w:val="13"/>
                <w:lang w:eastAsia="es-CO"/>
              </w:rPr>
              <w:t>Anexo 5 de la Res. CREG 202 de 2013</w:t>
            </w:r>
          </w:p>
        </w:tc>
        <w:tc>
          <w:tcPr>
            <w:tcW w:w="831" w:type="pct"/>
            <w:gridSpan w:val="2"/>
            <w:shd w:val="clear" w:color="auto" w:fill="D9D9D9" w:themeFill="background1" w:themeFillShade="D9"/>
            <w:vAlign w:val="center"/>
          </w:tcPr>
          <w:p w14:paraId="46771A21" w14:textId="77777777" w:rsidR="007632B6" w:rsidRPr="008D0D1A" w:rsidRDefault="007632B6" w:rsidP="004B4F0B">
            <w:pPr>
              <w:jc w:val="center"/>
              <w:rPr>
                <w:b/>
                <w:color w:val="000000"/>
                <w:sz w:val="13"/>
                <w:szCs w:val="13"/>
                <w:lang w:val="es-CO" w:eastAsia="es-CO"/>
              </w:rPr>
            </w:pPr>
            <w:r w:rsidRPr="008D0D1A">
              <w:rPr>
                <w:b/>
                <w:color w:val="000000"/>
                <w:sz w:val="13"/>
                <w:szCs w:val="13"/>
                <w:lang w:eastAsia="es-CO"/>
              </w:rPr>
              <w:t>Diferencia</w:t>
            </w:r>
          </w:p>
        </w:tc>
      </w:tr>
      <w:tr w:rsidR="007632B6" w:rsidRPr="008D0D1A" w14:paraId="5CF7C6D0" w14:textId="77777777" w:rsidTr="002D5FA8">
        <w:trPr>
          <w:trHeight w:val="300"/>
          <w:tblHeader/>
        </w:trPr>
        <w:tc>
          <w:tcPr>
            <w:tcW w:w="907" w:type="pct"/>
            <w:tcBorders>
              <w:top w:val="single" w:sz="4" w:space="0" w:color="auto"/>
            </w:tcBorders>
            <w:shd w:val="clear" w:color="auto" w:fill="D9D9D9" w:themeFill="background1" w:themeFillShade="D9"/>
            <w:noWrap/>
            <w:vAlign w:val="center"/>
            <w:hideMark/>
          </w:tcPr>
          <w:p w14:paraId="3DD97D8C" w14:textId="77777777" w:rsidR="007632B6" w:rsidRPr="008D0D1A" w:rsidRDefault="007632B6" w:rsidP="004B4F0B">
            <w:pPr>
              <w:jc w:val="center"/>
              <w:rPr>
                <w:b/>
                <w:color w:val="000000"/>
                <w:sz w:val="13"/>
                <w:szCs w:val="13"/>
                <w:lang w:val="es-CO" w:eastAsia="es-CO"/>
              </w:rPr>
            </w:pPr>
            <w:r w:rsidRPr="008D0D1A">
              <w:rPr>
                <w:b/>
                <w:color w:val="000000"/>
                <w:sz w:val="13"/>
                <w:szCs w:val="13"/>
                <w:lang w:eastAsia="es-CO"/>
              </w:rPr>
              <w:t>Municipio</w:t>
            </w:r>
          </w:p>
        </w:tc>
        <w:tc>
          <w:tcPr>
            <w:tcW w:w="455" w:type="pct"/>
            <w:tcBorders>
              <w:top w:val="single" w:sz="4" w:space="0" w:color="auto"/>
            </w:tcBorders>
            <w:shd w:val="clear" w:color="auto" w:fill="D9D9D9" w:themeFill="background1" w:themeFillShade="D9"/>
            <w:noWrap/>
            <w:vAlign w:val="center"/>
            <w:hideMark/>
          </w:tcPr>
          <w:p w14:paraId="5BB23B73" w14:textId="77777777" w:rsidR="007632B6" w:rsidRPr="008D0D1A" w:rsidRDefault="007632B6" w:rsidP="004B4F0B">
            <w:pPr>
              <w:jc w:val="center"/>
              <w:rPr>
                <w:b/>
                <w:color w:val="000000"/>
                <w:sz w:val="13"/>
                <w:szCs w:val="13"/>
                <w:lang w:val="es-CO" w:eastAsia="es-CO"/>
              </w:rPr>
            </w:pPr>
            <w:r w:rsidRPr="008D0D1A">
              <w:rPr>
                <w:b/>
                <w:color w:val="000000"/>
                <w:sz w:val="13"/>
                <w:szCs w:val="13"/>
                <w:lang w:eastAsia="es-CO"/>
              </w:rPr>
              <w:t>Código UC</w:t>
            </w:r>
          </w:p>
        </w:tc>
        <w:tc>
          <w:tcPr>
            <w:tcW w:w="532" w:type="pct"/>
            <w:tcBorders>
              <w:top w:val="single" w:sz="4" w:space="0" w:color="auto"/>
            </w:tcBorders>
            <w:shd w:val="clear" w:color="auto" w:fill="D9D9D9" w:themeFill="background1" w:themeFillShade="D9"/>
            <w:noWrap/>
            <w:vAlign w:val="center"/>
            <w:hideMark/>
          </w:tcPr>
          <w:p w14:paraId="5F9F9194" w14:textId="77777777" w:rsidR="007632B6" w:rsidRPr="008D0D1A" w:rsidRDefault="007632B6" w:rsidP="004B4F0B">
            <w:pPr>
              <w:jc w:val="center"/>
              <w:rPr>
                <w:b/>
                <w:color w:val="000000"/>
                <w:sz w:val="13"/>
                <w:szCs w:val="13"/>
                <w:lang w:val="es-CO" w:eastAsia="es-CO"/>
              </w:rPr>
            </w:pPr>
            <w:r w:rsidRPr="008D0D1A">
              <w:rPr>
                <w:b/>
                <w:color w:val="000000"/>
                <w:sz w:val="13"/>
                <w:szCs w:val="13"/>
                <w:lang w:eastAsia="es-CO"/>
              </w:rPr>
              <w:t>Costo unitario</w:t>
            </w:r>
          </w:p>
        </w:tc>
        <w:tc>
          <w:tcPr>
            <w:tcW w:w="530" w:type="pct"/>
            <w:tcBorders>
              <w:top w:val="single" w:sz="4" w:space="0" w:color="auto"/>
            </w:tcBorders>
            <w:shd w:val="clear" w:color="auto" w:fill="D9D9D9" w:themeFill="background1" w:themeFillShade="D9"/>
            <w:noWrap/>
            <w:vAlign w:val="center"/>
            <w:hideMark/>
          </w:tcPr>
          <w:p w14:paraId="07A0BCB3" w14:textId="77777777" w:rsidR="007632B6" w:rsidRPr="008D0D1A" w:rsidRDefault="007632B6" w:rsidP="004B4F0B">
            <w:pPr>
              <w:jc w:val="center"/>
              <w:rPr>
                <w:b/>
                <w:color w:val="000000"/>
                <w:sz w:val="13"/>
                <w:szCs w:val="13"/>
                <w:lang w:val="es-CO" w:eastAsia="es-CO"/>
              </w:rPr>
            </w:pPr>
            <w:r w:rsidRPr="008D0D1A">
              <w:rPr>
                <w:b/>
                <w:color w:val="000000"/>
                <w:sz w:val="13"/>
                <w:szCs w:val="13"/>
                <w:lang w:eastAsia="es-CO"/>
              </w:rPr>
              <w:t>Red</w:t>
            </w:r>
          </w:p>
        </w:tc>
        <w:tc>
          <w:tcPr>
            <w:tcW w:w="379" w:type="pct"/>
            <w:tcBorders>
              <w:top w:val="single" w:sz="4" w:space="0" w:color="auto"/>
            </w:tcBorders>
            <w:shd w:val="clear" w:color="auto" w:fill="D9D9D9" w:themeFill="background1" w:themeFillShade="D9"/>
            <w:noWrap/>
            <w:vAlign w:val="center"/>
            <w:hideMark/>
          </w:tcPr>
          <w:p w14:paraId="3C73E204" w14:textId="77777777" w:rsidR="007632B6" w:rsidRPr="008D0D1A" w:rsidRDefault="007632B6" w:rsidP="004B4F0B">
            <w:pPr>
              <w:jc w:val="center"/>
              <w:rPr>
                <w:b/>
                <w:color w:val="000000"/>
                <w:sz w:val="13"/>
                <w:szCs w:val="13"/>
                <w:lang w:val="es-CO" w:eastAsia="es-CO"/>
              </w:rPr>
            </w:pPr>
            <w:proofErr w:type="spellStart"/>
            <w:r w:rsidRPr="008D0D1A">
              <w:rPr>
                <w:b/>
                <w:color w:val="000000"/>
                <w:sz w:val="13"/>
                <w:szCs w:val="13"/>
                <w:lang w:eastAsia="es-CO"/>
              </w:rPr>
              <w:t>Cant</w:t>
            </w:r>
            <w:proofErr w:type="spellEnd"/>
            <w:r w:rsidRPr="008D0D1A">
              <w:rPr>
                <w:b/>
                <w:color w:val="000000"/>
                <w:sz w:val="13"/>
                <w:szCs w:val="13"/>
                <w:lang w:eastAsia="es-CO"/>
              </w:rPr>
              <w:t>.</w:t>
            </w:r>
          </w:p>
        </w:tc>
        <w:tc>
          <w:tcPr>
            <w:tcW w:w="479" w:type="pct"/>
            <w:shd w:val="clear" w:color="auto" w:fill="D9D9D9" w:themeFill="background1" w:themeFillShade="D9"/>
            <w:noWrap/>
            <w:vAlign w:val="center"/>
            <w:hideMark/>
          </w:tcPr>
          <w:p w14:paraId="44B275C4" w14:textId="0528AD94" w:rsidR="007632B6" w:rsidRPr="008D0D1A" w:rsidRDefault="007632B6" w:rsidP="0072229C">
            <w:pPr>
              <w:jc w:val="center"/>
              <w:rPr>
                <w:b/>
                <w:color w:val="000000"/>
                <w:sz w:val="13"/>
                <w:szCs w:val="13"/>
                <w:lang w:val="es-CO" w:eastAsia="es-CO"/>
              </w:rPr>
            </w:pPr>
            <w:r w:rsidRPr="008D0D1A">
              <w:rPr>
                <w:b/>
                <w:color w:val="000000"/>
                <w:sz w:val="13"/>
                <w:szCs w:val="13"/>
                <w:lang w:eastAsia="es-CO"/>
              </w:rPr>
              <w:t>Costo (millones dic. 2014)</w:t>
            </w:r>
          </w:p>
        </w:tc>
        <w:tc>
          <w:tcPr>
            <w:tcW w:w="431" w:type="pct"/>
            <w:shd w:val="clear" w:color="auto" w:fill="D9D9D9" w:themeFill="background1" w:themeFillShade="D9"/>
            <w:noWrap/>
            <w:vAlign w:val="center"/>
            <w:hideMark/>
          </w:tcPr>
          <w:p w14:paraId="0D5CB088" w14:textId="77777777" w:rsidR="007632B6" w:rsidRPr="008D0D1A" w:rsidRDefault="007632B6" w:rsidP="004B4F0B">
            <w:pPr>
              <w:jc w:val="center"/>
              <w:rPr>
                <w:b/>
                <w:color w:val="000000"/>
                <w:sz w:val="13"/>
                <w:szCs w:val="13"/>
                <w:lang w:val="es-CO" w:eastAsia="es-CO"/>
              </w:rPr>
            </w:pPr>
            <w:proofErr w:type="spellStart"/>
            <w:r w:rsidRPr="008D0D1A">
              <w:rPr>
                <w:b/>
                <w:color w:val="000000"/>
                <w:sz w:val="13"/>
                <w:szCs w:val="13"/>
                <w:lang w:eastAsia="es-CO"/>
              </w:rPr>
              <w:t>Cant</w:t>
            </w:r>
            <w:proofErr w:type="spellEnd"/>
            <w:r w:rsidRPr="008D0D1A">
              <w:rPr>
                <w:b/>
                <w:color w:val="000000"/>
                <w:sz w:val="13"/>
                <w:szCs w:val="13"/>
                <w:lang w:eastAsia="es-CO"/>
              </w:rPr>
              <w:t>.</w:t>
            </w:r>
          </w:p>
        </w:tc>
        <w:tc>
          <w:tcPr>
            <w:tcW w:w="455" w:type="pct"/>
            <w:shd w:val="clear" w:color="auto" w:fill="D9D9D9" w:themeFill="background1" w:themeFillShade="D9"/>
            <w:noWrap/>
            <w:vAlign w:val="center"/>
            <w:hideMark/>
          </w:tcPr>
          <w:p w14:paraId="37ECFA18" w14:textId="77777777" w:rsidR="007632B6" w:rsidRPr="008D0D1A" w:rsidRDefault="007632B6" w:rsidP="004B4F0B">
            <w:pPr>
              <w:jc w:val="center"/>
              <w:rPr>
                <w:b/>
                <w:color w:val="000000"/>
                <w:sz w:val="13"/>
                <w:szCs w:val="13"/>
                <w:lang w:val="es-CO" w:eastAsia="es-CO"/>
              </w:rPr>
            </w:pPr>
            <w:r w:rsidRPr="008D0D1A">
              <w:rPr>
                <w:b/>
                <w:color w:val="000000"/>
                <w:sz w:val="13"/>
                <w:szCs w:val="13"/>
                <w:lang w:eastAsia="es-CO"/>
              </w:rPr>
              <w:t>Costo (miles de millones dic. 2014)</w:t>
            </w:r>
          </w:p>
        </w:tc>
        <w:tc>
          <w:tcPr>
            <w:tcW w:w="378" w:type="pct"/>
            <w:shd w:val="clear" w:color="auto" w:fill="D9D9D9" w:themeFill="background1" w:themeFillShade="D9"/>
            <w:noWrap/>
            <w:vAlign w:val="center"/>
            <w:hideMark/>
          </w:tcPr>
          <w:p w14:paraId="19433666" w14:textId="77777777" w:rsidR="007632B6" w:rsidRPr="008D0D1A" w:rsidRDefault="007632B6" w:rsidP="004B4F0B">
            <w:pPr>
              <w:jc w:val="center"/>
              <w:rPr>
                <w:b/>
                <w:color w:val="000000"/>
                <w:sz w:val="13"/>
                <w:szCs w:val="13"/>
                <w:lang w:val="es-CO" w:eastAsia="es-CO"/>
              </w:rPr>
            </w:pPr>
            <w:proofErr w:type="spellStart"/>
            <w:r w:rsidRPr="008D0D1A">
              <w:rPr>
                <w:b/>
                <w:color w:val="000000"/>
                <w:sz w:val="13"/>
                <w:szCs w:val="13"/>
                <w:lang w:eastAsia="es-CO"/>
              </w:rPr>
              <w:t>Cant</w:t>
            </w:r>
            <w:proofErr w:type="spellEnd"/>
            <w:r w:rsidRPr="008D0D1A">
              <w:rPr>
                <w:b/>
                <w:color w:val="000000"/>
                <w:sz w:val="13"/>
                <w:szCs w:val="13"/>
                <w:lang w:eastAsia="es-CO"/>
              </w:rPr>
              <w:t>.</w:t>
            </w:r>
          </w:p>
        </w:tc>
        <w:tc>
          <w:tcPr>
            <w:tcW w:w="453" w:type="pct"/>
            <w:shd w:val="clear" w:color="auto" w:fill="D9D9D9" w:themeFill="background1" w:themeFillShade="D9"/>
            <w:noWrap/>
            <w:vAlign w:val="center"/>
            <w:hideMark/>
          </w:tcPr>
          <w:p w14:paraId="428AAC10" w14:textId="3AE3F975" w:rsidR="007632B6" w:rsidRPr="008D0D1A" w:rsidRDefault="007632B6" w:rsidP="0072229C">
            <w:pPr>
              <w:jc w:val="center"/>
              <w:rPr>
                <w:b/>
                <w:color w:val="000000"/>
                <w:sz w:val="13"/>
                <w:szCs w:val="13"/>
                <w:lang w:val="es-CO" w:eastAsia="es-CO"/>
              </w:rPr>
            </w:pPr>
            <w:r w:rsidRPr="008D0D1A">
              <w:rPr>
                <w:b/>
                <w:color w:val="000000"/>
                <w:sz w:val="13"/>
                <w:szCs w:val="13"/>
                <w:lang w:eastAsia="es-CO"/>
              </w:rPr>
              <w:t>Costo (millones dic. 2014)</w:t>
            </w:r>
          </w:p>
        </w:tc>
      </w:tr>
      <w:tr w:rsidR="00911ACE" w:rsidRPr="008D0D1A" w14:paraId="369975FB" w14:textId="77777777" w:rsidTr="002D5FA8">
        <w:trPr>
          <w:trHeight w:val="227"/>
        </w:trPr>
        <w:tc>
          <w:tcPr>
            <w:tcW w:w="907" w:type="pct"/>
            <w:shd w:val="clear" w:color="auto" w:fill="auto"/>
            <w:noWrap/>
            <w:vAlign w:val="center"/>
            <w:hideMark/>
          </w:tcPr>
          <w:p w14:paraId="28931412" w14:textId="77777777" w:rsidR="00911ACE" w:rsidRPr="008D0D1A" w:rsidRDefault="00911ACE" w:rsidP="00911ACE">
            <w:pPr>
              <w:jc w:val="left"/>
              <w:rPr>
                <w:color w:val="000000"/>
                <w:sz w:val="13"/>
                <w:szCs w:val="13"/>
                <w:lang w:val="es-CO" w:eastAsia="es-CO"/>
              </w:rPr>
            </w:pPr>
            <w:proofErr w:type="spellStart"/>
            <w:r w:rsidRPr="008D0D1A">
              <w:rPr>
                <w:color w:val="000000"/>
                <w:sz w:val="13"/>
                <w:szCs w:val="13"/>
                <w:lang w:val="es-CO" w:eastAsia="es-CO"/>
              </w:rPr>
              <w:t>Baranoa</w:t>
            </w:r>
            <w:proofErr w:type="spellEnd"/>
            <w:r w:rsidRPr="008D0D1A">
              <w:rPr>
                <w:color w:val="000000"/>
                <w:sz w:val="13"/>
                <w:szCs w:val="13"/>
                <w:lang w:val="es-CO" w:eastAsia="es-CO"/>
              </w:rPr>
              <w:t xml:space="preserve"> - Atlántico</w:t>
            </w:r>
          </w:p>
        </w:tc>
        <w:tc>
          <w:tcPr>
            <w:tcW w:w="455" w:type="pct"/>
            <w:shd w:val="clear" w:color="auto" w:fill="auto"/>
            <w:noWrap/>
            <w:vAlign w:val="center"/>
            <w:hideMark/>
          </w:tcPr>
          <w:p w14:paraId="2D75CFB5"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TPE1/2CO</w:t>
            </w:r>
          </w:p>
        </w:tc>
        <w:tc>
          <w:tcPr>
            <w:tcW w:w="532" w:type="pct"/>
            <w:shd w:val="clear" w:color="auto" w:fill="auto"/>
            <w:noWrap/>
            <w:vAlign w:val="center"/>
            <w:hideMark/>
          </w:tcPr>
          <w:p w14:paraId="1BAE0C14" w14:textId="77777777" w:rsidR="00911ACE" w:rsidRPr="008D0D1A" w:rsidRDefault="00911ACE" w:rsidP="00911ACE">
            <w:pPr>
              <w:jc w:val="right"/>
              <w:rPr>
                <w:color w:val="000000"/>
                <w:sz w:val="13"/>
                <w:szCs w:val="13"/>
                <w:lang w:val="es-CO" w:eastAsia="es-CO"/>
              </w:rPr>
            </w:pPr>
            <w:r w:rsidRPr="008D0D1A">
              <w:rPr>
                <w:color w:val="000000"/>
                <w:sz w:val="13"/>
                <w:szCs w:val="13"/>
                <w:lang w:val="es-CO" w:eastAsia="es-CO"/>
              </w:rPr>
              <w:t>23.730.287</w:t>
            </w:r>
          </w:p>
        </w:tc>
        <w:tc>
          <w:tcPr>
            <w:tcW w:w="530" w:type="pct"/>
            <w:shd w:val="clear" w:color="auto" w:fill="auto"/>
            <w:noWrap/>
            <w:vAlign w:val="center"/>
            <w:hideMark/>
          </w:tcPr>
          <w:p w14:paraId="7F120D04"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Secundaria</w:t>
            </w:r>
          </w:p>
        </w:tc>
        <w:tc>
          <w:tcPr>
            <w:tcW w:w="379" w:type="pct"/>
            <w:shd w:val="clear" w:color="auto" w:fill="auto"/>
            <w:noWrap/>
            <w:vAlign w:val="center"/>
            <w:hideMark/>
          </w:tcPr>
          <w:p w14:paraId="728A43AB"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47,96</w:t>
            </w:r>
          </w:p>
        </w:tc>
        <w:tc>
          <w:tcPr>
            <w:tcW w:w="479" w:type="pct"/>
            <w:shd w:val="clear" w:color="auto" w:fill="auto"/>
            <w:noWrap/>
            <w:vAlign w:val="center"/>
            <w:hideMark/>
          </w:tcPr>
          <w:p w14:paraId="3D52E2A5"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1.138,10</w:t>
            </w:r>
          </w:p>
        </w:tc>
        <w:tc>
          <w:tcPr>
            <w:tcW w:w="431" w:type="pct"/>
            <w:shd w:val="clear" w:color="auto" w:fill="auto"/>
            <w:noWrap/>
            <w:vAlign w:val="center"/>
          </w:tcPr>
          <w:p w14:paraId="2FCDA098" w14:textId="08088AB2" w:rsidR="00911ACE" w:rsidRPr="008D0D1A" w:rsidRDefault="00911ACE" w:rsidP="002D5FA8">
            <w:pPr>
              <w:jc w:val="right"/>
              <w:rPr>
                <w:color w:val="000000"/>
                <w:sz w:val="13"/>
                <w:szCs w:val="13"/>
                <w:lang w:val="es-CO" w:eastAsia="es-CO"/>
              </w:rPr>
            </w:pPr>
            <w:r>
              <w:rPr>
                <w:color w:val="000000"/>
                <w:sz w:val="13"/>
                <w:szCs w:val="13"/>
                <w:lang w:val="es-CO" w:eastAsia="es-CO"/>
              </w:rPr>
              <w:t>79,6</w:t>
            </w:r>
          </w:p>
        </w:tc>
        <w:tc>
          <w:tcPr>
            <w:tcW w:w="455" w:type="pct"/>
            <w:tcBorders>
              <w:top w:val="nil"/>
              <w:left w:val="nil"/>
              <w:bottom w:val="single" w:sz="8" w:space="0" w:color="auto"/>
              <w:right w:val="single" w:sz="8" w:space="0" w:color="auto"/>
            </w:tcBorders>
            <w:shd w:val="clear" w:color="auto" w:fill="auto"/>
            <w:noWrap/>
            <w:vAlign w:val="center"/>
          </w:tcPr>
          <w:p w14:paraId="7E96BA16" w14:textId="55DD7BE5" w:rsidR="00911ACE" w:rsidRPr="008D0D1A" w:rsidRDefault="00911ACE" w:rsidP="002D5FA8">
            <w:pPr>
              <w:jc w:val="right"/>
              <w:rPr>
                <w:color w:val="000000"/>
                <w:sz w:val="13"/>
                <w:szCs w:val="13"/>
                <w:lang w:val="es-CO" w:eastAsia="es-CO"/>
              </w:rPr>
            </w:pPr>
            <w:r>
              <w:rPr>
                <w:color w:val="000000"/>
                <w:sz w:val="13"/>
                <w:szCs w:val="13"/>
              </w:rPr>
              <w:t xml:space="preserve">1.888,93 </w:t>
            </w:r>
          </w:p>
        </w:tc>
        <w:tc>
          <w:tcPr>
            <w:tcW w:w="378" w:type="pct"/>
            <w:tcBorders>
              <w:top w:val="nil"/>
              <w:left w:val="nil"/>
              <w:bottom w:val="single" w:sz="8" w:space="0" w:color="auto"/>
              <w:right w:val="single" w:sz="8" w:space="0" w:color="auto"/>
            </w:tcBorders>
            <w:shd w:val="clear" w:color="auto" w:fill="auto"/>
            <w:noWrap/>
            <w:vAlign w:val="center"/>
          </w:tcPr>
          <w:p w14:paraId="776DDA25" w14:textId="517DA726" w:rsidR="00911ACE" w:rsidRPr="008D0D1A" w:rsidRDefault="00911ACE" w:rsidP="002D5FA8">
            <w:pPr>
              <w:jc w:val="right"/>
              <w:rPr>
                <w:color w:val="000000"/>
                <w:sz w:val="13"/>
                <w:szCs w:val="13"/>
                <w:lang w:val="es-CO" w:eastAsia="es-CO"/>
              </w:rPr>
            </w:pPr>
            <w:r>
              <w:rPr>
                <w:color w:val="000000"/>
                <w:sz w:val="13"/>
                <w:szCs w:val="13"/>
              </w:rPr>
              <w:t xml:space="preserve">-31,64 </w:t>
            </w:r>
          </w:p>
        </w:tc>
        <w:tc>
          <w:tcPr>
            <w:tcW w:w="453" w:type="pct"/>
            <w:tcBorders>
              <w:top w:val="nil"/>
              <w:left w:val="nil"/>
              <w:bottom w:val="single" w:sz="8" w:space="0" w:color="auto"/>
              <w:right w:val="single" w:sz="8" w:space="0" w:color="auto"/>
            </w:tcBorders>
            <w:shd w:val="clear" w:color="auto" w:fill="auto"/>
            <w:noWrap/>
            <w:vAlign w:val="center"/>
          </w:tcPr>
          <w:p w14:paraId="4C56BCE5" w14:textId="2E71E2A6" w:rsidR="00911ACE" w:rsidRPr="008D0D1A" w:rsidRDefault="00911ACE" w:rsidP="002D5FA8">
            <w:pPr>
              <w:jc w:val="right"/>
              <w:rPr>
                <w:color w:val="000000"/>
                <w:sz w:val="13"/>
                <w:szCs w:val="13"/>
                <w:lang w:val="es-CO" w:eastAsia="es-CO"/>
              </w:rPr>
            </w:pPr>
            <w:r>
              <w:rPr>
                <w:color w:val="000000"/>
                <w:sz w:val="13"/>
                <w:szCs w:val="13"/>
              </w:rPr>
              <w:t xml:space="preserve">-750,83 </w:t>
            </w:r>
          </w:p>
        </w:tc>
      </w:tr>
      <w:tr w:rsidR="00911ACE" w:rsidRPr="008D0D1A" w14:paraId="259F86EA" w14:textId="77777777" w:rsidTr="002D5FA8">
        <w:trPr>
          <w:trHeight w:val="227"/>
        </w:trPr>
        <w:tc>
          <w:tcPr>
            <w:tcW w:w="907" w:type="pct"/>
            <w:shd w:val="clear" w:color="auto" w:fill="auto"/>
            <w:noWrap/>
            <w:vAlign w:val="center"/>
            <w:hideMark/>
          </w:tcPr>
          <w:p w14:paraId="38500164" w14:textId="77777777" w:rsidR="00911ACE" w:rsidRPr="008D0D1A" w:rsidRDefault="00911ACE" w:rsidP="00911ACE">
            <w:pPr>
              <w:jc w:val="left"/>
              <w:rPr>
                <w:color w:val="000000"/>
                <w:sz w:val="13"/>
                <w:szCs w:val="13"/>
                <w:lang w:val="es-CO" w:eastAsia="es-CO"/>
              </w:rPr>
            </w:pPr>
            <w:proofErr w:type="spellStart"/>
            <w:r w:rsidRPr="008D0D1A">
              <w:rPr>
                <w:color w:val="000000"/>
                <w:sz w:val="13"/>
                <w:szCs w:val="13"/>
                <w:lang w:val="es-CO" w:eastAsia="es-CO"/>
              </w:rPr>
              <w:t>Baranoa</w:t>
            </w:r>
            <w:proofErr w:type="spellEnd"/>
            <w:r w:rsidRPr="008D0D1A">
              <w:rPr>
                <w:color w:val="000000"/>
                <w:sz w:val="13"/>
                <w:szCs w:val="13"/>
                <w:lang w:val="es-CO" w:eastAsia="es-CO"/>
              </w:rPr>
              <w:t xml:space="preserve"> - Atlántico</w:t>
            </w:r>
          </w:p>
        </w:tc>
        <w:tc>
          <w:tcPr>
            <w:tcW w:w="456" w:type="pct"/>
            <w:shd w:val="clear" w:color="auto" w:fill="auto"/>
            <w:noWrap/>
            <w:vAlign w:val="center"/>
            <w:hideMark/>
          </w:tcPr>
          <w:p w14:paraId="70521FAF"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TPE3/4CO</w:t>
            </w:r>
          </w:p>
        </w:tc>
        <w:tc>
          <w:tcPr>
            <w:tcW w:w="532" w:type="pct"/>
            <w:shd w:val="clear" w:color="auto" w:fill="auto"/>
            <w:noWrap/>
            <w:vAlign w:val="center"/>
            <w:hideMark/>
          </w:tcPr>
          <w:p w14:paraId="19966BEC" w14:textId="77777777" w:rsidR="00911ACE" w:rsidRPr="008D0D1A" w:rsidRDefault="00911ACE" w:rsidP="00911ACE">
            <w:pPr>
              <w:jc w:val="right"/>
              <w:rPr>
                <w:color w:val="000000"/>
                <w:sz w:val="13"/>
                <w:szCs w:val="13"/>
                <w:lang w:val="es-CO" w:eastAsia="es-CO"/>
              </w:rPr>
            </w:pPr>
            <w:r w:rsidRPr="008D0D1A">
              <w:rPr>
                <w:color w:val="000000"/>
                <w:sz w:val="13"/>
                <w:szCs w:val="13"/>
                <w:lang w:val="es-CO" w:eastAsia="es-CO"/>
              </w:rPr>
              <w:t>23.730.287</w:t>
            </w:r>
          </w:p>
        </w:tc>
        <w:tc>
          <w:tcPr>
            <w:tcW w:w="530" w:type="pct"/>
            <w:shd w:val="clear" w:color="auto" w:fill="auto"/>
            <w:noWrap/>
            <w:vAlign w:val="center"/>
            <w:hideMark/>
          </w:tcPr>
          <w:p w14:paraId="3AB6ED37"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Secundaria</w:t>
            </w:r>
          </w:p>
        </w:tc>
        <w:tc>
          <w:tcPr>
            <w:tcW w:w="379" w:type="pct"/>
            <w:shd w:val="clear" w:color="auto" w:fill="auto"/>
            <w:noWrap/>
            <w:vAlign w:val="center"/>
            <w:hideMark/>
          </w:tcPr>
          <w:p w14:paraId="16B71E77"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40,13</w:t>
            </w:r>
          </w:p>
        </w:tc>
        <w:tc>
          <w:tcPr>
            <w:tcW w:w="479" w:type="pct"/>
            <w:shd w:val="clear" w:color="auto" w:fill="auto"/>
            <w:noWrap/>
            <w:vAlign w:val="center"/>
            <w:hideMark/>
          </w:tcPr>
          <w:p w14:paraId="0A1879A6"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952,30</w:t>
            </w:r>
          </w:p>
        </w:tc>
        <w:tc>
          <w:tcPr>
            <w:tcW w:w="431" w:type="pct"/>
            <w:shd w:val="clear" w:color="auto" w:fill="auto"/>
            <w:noWrap/>
            <w:vAlign w:val="center"/>
          </w:tcPr>
          <w:p w14:paraId="67FF948B" w14:textId="3F96FC95" w:rsidR="00911ACE" w:rsidRPr="008D0D1A" w:rsidRDefault="00911ACE" w:rsidP="002D5FA8">
            <w:pPr>
              <w:jc w:val="right"/>
              <w:rPr>
                <w:color w:val="000000"/>
                <w:sz w:val="13"/>
                <w:szCs w:val="13"/>
                <w:lang w:val="es-CO" w:eastAsia="es-CO"/>
              </w:rPr>
            </w:pPr>
            <w:r>
              <w:rPr>
                <w:color w:val="000000"/>
                <w:sz w:val="13"/>
                <w:szCs w:val="13"/>
                <w:lang w:val="es-CO" w:eastAsia="es-CO"/>
              </w:rPr>
              <w:t>46,9</w:t>
            </w:r>
          </w:p>
        </w:tc>
        <w:tc>
          <w:tcPr>
            <w:tcW w:w="455" w:type="pct"/>
            <w:tcBorders>
              <w:top w:val="nil"/>
              <w:left w:val="nil"/>
              <w:bottom w:val="single" w:sz="8" w:space="0" w:color="auto"/>
              <w:right w:val="single" w:sz="8" w:space="0" w:color="auto"/>
            </w:tcBorders>
            <w:shd w:val="clear" w:color="auto" w:fill="auto"/>
            <w:noWrap/>
            <w:vAlign w:val="center"/>
          </w:tcPr>
          <w:p w14:paraId="52F27E06" w14:textId="5E1B4C91" w:rsidR="00911ACE" w:rsidRPr="008D0D1A" w:rsidRDefault="00911ACE" w:rsidP="002D5FA8">
            <w:pPr>
              <w:jc w:val="right"/>
              <w:rPr>
                <w:color w:val="000000"/>
                <w:sz w:val="13"/>
                <w:szCs w:val="13"/>
                <w:lang w:val="es-CO" w:eastAsia="es-CO"/>
              </w:rPr>
            </w:pPr>
            <w:r>
              <w:rPr>
                <w:color w:val="000000"/>
                <w:sz w:val="13"/>
                <w:szCs w:val="13"/>
              </w:rPr>
              <w:t xml:space="preserve">1.112,95 </w:t>
            </w:r>
          </w:p>
        </w:tc>
        <w:tc>
          <w:tcPr>
            <w:tcW w:w="378" w:type="pct"/>
            <w:tcBorders>
              <w:top w:val="nil"/>
              <w:left w:val="nil"/>
              <w:bottom w:val="single" w:sz="8" w:space="0" w:color="auto"/>
              <w:right w:val="single" w:sz="8" w:space="0" w:color="auto"/>
            </w:tcBorders>
            <w:shd w:val="clear" w:color="auto" w:fill="auto"/>
            <w:noWrap/>
            <w:vAlign w:val="center"/>
          </w:tcPr>
          <w:p w14:paraId="3BD98ABD" w14:textId="29FDAAC5" w:rsidR="00911ACE" w:rsidRPr="008D0D1A" w:rsidRDefault="00911ACE" w:rsidP="002D5FA8">
            <w:pPr>
              <w:jc w:val="right"/>
              <w:rPr>
                <w:color w:val="000000"/>
                <w:sz w:val="13"/>
                <w:szCs w:val="13"/>
                <w:lang w:val="es-CO" w:eastAsia="es-CO"/>
              </w:rPr>
            </w:pPr>
            <w:r>
              <w:rPr>
                <w:color w:val="000000"/>
                <w:sz w:val="13"/>
                <w:szCs w:val="13"/>
              </w:rPr>
              <w:t xml:space="preserve">-6,77 </w:t>
            </w:r>
          </w:p>
        </w:tc>
        <w:tc>
          <w:tcPr>
            <w:tcW w:w="453" w:type="pct"/>
            <w:tcBorders>
              <w:top w:val="nil"/>
              <w:left w:val="nil"/>
              <w:bottom w:val="single" w:sz="8" w:space="0" w:color="auto"/>
              <w:right w:val="single" w:sz="8" w:space="0" w:color="auto"/>
            </w:tcBorders>
            <w:shd w:val="clear" w:color="auto" w:fill="auto"/>
            <w:noWrap/>
            <w:vAlign w:val="center"/>
          </w:tcPr>
          <w:p w14:paraId="23AC5758" w14:textId="683A33AA" w:rsidR="00911ACE" w:rsidRPr="008D0D1A" w:rsidRDefault="00911ACE" w:rsidP="002D5FA8">
            <w:pPr>
              <w:jc w:val="right"/>
              <w:rPr>
                <w:color w:val="000000"/>
                <w:sz w:val="13"/>
                <w:szCs w:val="13"/>
                <w:lang w:val="es-CO" w:eastAsia="es-CO"/>
              </w:rPr>
            </w:pPr>
            <w:r>
              <w:rPr>
                <w:color w:val="000000"/>
                <w:sz w:val="13"/>
                <w:szCs w:val="13"/>
              </w:rPr>
              <w:t xml:space="preserve">-160,65 </w:t>
            </w:r>
          </w:p>
        </w:tc>
      </w:tr>
      <w:tr w:rsidR="00911ACE" w:rsidRPr="008D0D1A" w14:paraId="53CE6046" w14:textId="77777777" w:rsidTr="002D5FA8">
        <w:trPr>
          <w:trHeight w:val="227"/>
        </w:trPr>
        <w:tc>
          <w:tcPr>
            <w:tcW w:w="907" w:type="pct"/>
            <w:shd w:val="clear" w:color="auto" w:fill="auto"/>
            <w:noWrap/>
            <w:vAlign w:val="center"/>
            <w:hideMark/>
          </w:tcPr>
          <w:p w14:paraId="74077E78"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Barranquilla - Atlántico</w:t>
            </w:r>
          </w:p>
        </w:tc>
        <w:tc>
          <w:tcPr>
            <w:tcW w:w="456" w:type="pct"/>
            <w:shd w:val="clear" w:color="auto" w:fill="auto"/>
            <w:noWrap/>
            <w:vAlign w:val="center"/>
            <w:hideMark/>
          </w:tcPr>
          <w:p w14:paraId="5E8BBC06"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TA4AS</w:t>
            </w:r>
          </w:p>
        </w:tc>
        <w:tc>
          <w:tcPr>
            <w:tcW w:w="532" w:type="pct"/>
            <w:shd w:val="clear" w:color="auto" w:fill="auto"/>
            <w:noWrap/>
            <w:vAlign w:val="center"/>
            <w:hideMark/>
          </w:tcPr>
          <w:p w14:paraId="31B92AE4" w14:textId="77777777" w:rsidR="00911ACE" w:rsidRPr="008D0D1A" w:rsidRDefault="00911ACE" w:rsidP="00911ACE">
            <w:pPr>
              <w:jc w:val="right"/>
              <w:rPr>
                <w:color w:val="000000"/>
                <w:sz w:val="13"/>
                <w:szCs w:val="13"/>
                <w:lang w:val="es-CO" w:eastAsia="es-CO"/>
              </w:rPr>
            </w:pPr>
            <w:r w:rsidRPr="008D0D1A">
              <w:rPr>
                <w:color w:val="000000"/>
                <w:sz w:val="13"/>
                <w:szCs w:val="13"/>
                <w:lang w:val="es-CO" w:eastAsia="es-CO"/>
              </w:rPr>
              <w:t>278.678.311</w:t>
            </w:r>
          </w:p>
        </w:tc>
        <w:tc>
          <w:tcPr>
            <w:tcW w:w="530" w:type="pct"/>
            <w:shd w:val="clear" w:color="auto" w:fill="auto"/>
            <w:noWrap/>
            <w:vAlign w:val="center"/>
            <w:hideMark/>
          </w:tcPr>
          <w:p w14:paraId="27AF3835"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Primaria</w:t>
            </w:r>
          </w:p>
        </w:tc>
        <w:tc>
          <w:tcPr>
            <w:tcW w:w="379" w:type="pct"/>
            <w:shd w:val="clear" w:color="auto" w:fill="auto"/>
            <w:noWrap/>
            <w:vAlign w:val="center"/>
            <w:hideMark/>
          </w:tcPr>
          <w:p w14:paraId="080C18C2"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3,30</w:t>
            </w:r>
          </w:p>
        </w:tc>
        <w:tc>
          <w:tcPr>
            <w:tcW w:w="479" w:type="pct"/>
            <w:shd w:val="clear" w:color="auto" w:fill="auto"/>
            <w:noWrap/>
            <w:vAlign w:val="center"/>
            <w:hideMark/>
          </w:tcPr>
          <w:p w14:paraId="531E733D"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919,64</w:t>
            </w:r>
          </w:p>
        </w:tc>
        <w:tc>
          <w:tcPr>
            <w:tcW w:w="431" w:type="pct"/>
            <w:shd w:val="clear" w:color="auto" w:fill="auto"/>
            <w:noWrap/>
            <w:vAlign w:val="center"/>
          </w:tcPr>
          <w:p w14:paraId="5237BDCE" w14:textId="0684B8B8" w:rsidR="00911ACE" w:rsidRPr="008D0D1A" w:rsidRDefault="00911ACE" w:rsidP="002D5FA8">
            <w:pPr>
              <w:jc w:val="right"/>
              <w:rPr>
                <w:color w:val="000000"/>
                <w:sz w:val="13"/>
                <w:szCs w:val="13"/>
                <w:lang w:val="es-CO" w:eastAsia="es-CO"/>
              </w:rPr>
            </w:pPr>
            <w:r>
              <w:rPr>
                <w:color w:val="000000"/>
                <w:sz w:val="13"/>
                <w:szCs w:val="13"/>
                <w:lang w:val="es-CO" w:eastAsia="es-CO"/>
              </w:rPr>
              <w:t>3,3</w:t>
            </w:r>
          </w:p>
        </w:tc>
        <w:tc>
          <w:tcPr>
            <w:tcW w:w="455" w:type="pct"/>
            <w:tcBorders>
              <w:top w:val="nil"/>
              <w:left w:val="nil"/>
              <w:bottom w:val="single" w:sz="8" w:space="0" w:color="auto"/>
              <w:right w:val="single" w:sz="8" w:space="0" w:color="auto"/>
            </w:tcBorders>
            <w:shd w:val="clear" w:color="auto" w:fill="auto"/>
            <w:noWrap/>
            <w:vAlign w:val="center"/>
          </w:tcPr>
          <w:p w14:paraId="3F796F16" w14:textId="4FCFC399" w:rsidR="00911ACE" w:rsidRPr="008D0D1A" w:rsidRDefault="00911ACE" w:rsidP="002D5FA8">
            <w:pPr>
              <w:jc w:val="right"/>
              <w:rPr>
                <w:color w:val="000000"/>
                <w:sz w:val="13"/>
                <w:szCs w:val="13"/>
                <w:lang w:val="es-CO" w:eastAsia="es-CO"/>
              </w:rPr>
            </w:pPr>
            <w:r>
              <w:rPr>
                <w:color w:val="000000"/>
                <w:sz w:val="13"/>
                <w:szCs w:val="13"/>
              </w:rPr>
              <w:t xml:space="preserve">919,64 </w:t>
            </w:r>
          </w:p>
        </w:tc>
        <w:tc>
          <w:tcPr>
            <w:tcW w:w="378" w:type="pct"/>
            <w:tcBorders>
              <w:top w:val="nil"/>
              <w:left w:val="nil"/>
              <w:bottom w:val="single" w:sz="8" w:space="0" w:color="auto"/>
              <w:right w:val="single" w:sz="8" w:space="0" w:color="auto"/>
            </w:tcBorders>
            <w:shd w:val="clear" w:color="auto" w:fill="auto"/>
            <w:noWrap/>
            <w:vAlign w:val="center"/>
          </w:tcPr>
          <w:p w14:paraId="30A7845F" w14:textId="476ACA65" w:rsidR="00911ACE" w:rsidRPr="008D0D1A" w:rsidRDefault="00911ACE" w:rsidP="002D5FA8">
            <w:pPr>
              <w:jc w:val="right"/>
              <w:rPr>
                <w:color w:val="000000"/>
                <w:sz w:val="13"/>
                <w:szCs w:val="13"/>
                <w:lang w:val="es-CO" w:eastAsia="es-CO"/>
              </w:rPr>
            </w:pPr>
            <w:r>
              <w:rPr>
                <w:color w:val="000000"/>
                <w:sz w:val="13"/>
                <w:szCs w:val="13"/>
              </w:rPr>
              <w:t xml:space="preserve">0,00   </w:t>
            </w:r>
          </w:p>
        </w:tc>
        <w:tc>
          <w:tcPr>
            <w:tcW w:w="453" w:type="pct"/>
            <w:tcBorders>
              <w:top w:val="nil"/>
              <w:left w:val="nil"/>
              <w:bottom w:val="single" w:sz="8" w:space="0" w:color="auto"/>
              <w:right w:val="single" w:sz="8" w:space="0" w:color="auto"/>
            </w:tcBorders>
            <w:shd w:val="clear" w:color="auto" w:fill="auto"/>
            <w:noWrap/>
            <w:vAlign w:val="center"/>
          </w:tcPr>
          <w:p w14:paraId="258E0123" w14:textId="3E16248C" w:rsidR="00911ACE" w:rsidRPr="008D0D1A" w:rsidRDefault="00911ACE" w:rsidP="002D5FA8">
            <w:pPr>
              <w:jc w:val="right"/>
              <w:rPr>
                <w:color w:val="000000"/>
                <w:sz w:val="13"/>
                <w:szCs w:val="13"/>
                <w:lang w:val="es-CO" w:eastAsia="es-CO"/>
              </w:rPr>
            </w:pPr>
            <w:r>
              <w:rPr>
                <w:color w:val="000000"/>
                <w:sz w:val="13"/>
                <w:szCs w:val="13"/>
              </w:rPr>
              <w:t xml:space="preserve">0,00 </w:t>
            </w:r>
          </w:p>
        </w:tc>
      </w:tr>
      <w:tr w:rsidR="00911ACE" w:rsidRPr="008D0D1A" w14:paraId="52A144C5" w14:textId="77777777" w:rsidTr="002D5FA8">
        <w:trPr>
          <w:trHeight w:val="227"/>
        </w:trPr>
        <w:tc>
          <w:tcPr>
            <w:tcW w:w="907" w:type="pct"/>
            <w:shd w:val="clear" w:color="auto" w:fill="auto"/>
            <w:noWrap/>
            <w:vAlign w:val="center"/>
            <w:hideMark/>
          </w:tcPr>
          <w:p w14:paraId="2F503EFD"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Barranquilla - Atlántico</w:t>
            </w:r>
          </w:p>
        </w:tc>
        <w:tc>
          <w:tcPr>
            <w:tcW w:w="456" w:type="pct"/>
            <w:shd w:val="clear" w:color="auto" w:fill="auto"/>
            <w:noWrap/>
            <w:vAlign w:val="center"/>
            <w:hideMark/>
          </w:tcPr>
          <w:p w14:paraId="348D366B"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TPE2AS</w:t>
            </w:r>
          </w:p>
        </w:tc>
        <w:tc>
          <w:tcPr>
            <w:tcW w:w="532" w:type="pct"/>
            <w:shd w:val="clear" w:color="auto" w:fill="auto"/>
            <w:noWrap/>
            <w:vAlign w:val="center"/>
            <w:hideMark/>
          </w:tcPr>
          <w:p w14:paraId="286D7DCA" w14:textId="77777777" w:rsidR="00911ACE" w:rsidRPr="008D0D1A" w:rsidRDefault="00911ACE" w:rsidP="00911ACE">
            <w:pPr>
              <w:jc w:val="right"/>
              <w:rPr>
                <w:color w:val="000000"/>
                <w:sz w:val="13"/>
                <w:szCs w:val="13"/>
                <w:lang w:val="es-CO" w:eastAsia="es-CO"/>
              </w:rPr>
            </w:pPr>
            <w:r w:rsidRPr="008D0D1A">
              <w:rPr>
                <w:color w:val="000000"/>
                <w:sz w:val="13"/>
                <w:szCs w:val="13"/>
                <w:lang w:val="es-CO" w:eastAsia="es-CO"/>
              </w:rPr>
              <w:t>54.240.655</w:t>
            </w:r>
          </w:p>
        </w:tc>
        <w:tc>
          <w:tcPr>
            <w:tcW w:w="530" w:type="pct"/>
            <w:shd w:val="clear" w:color="auto" w:fill="auto"/>
            <w:noWrap/>
            <w:vAlign w:val="center"/>
            <w:hideMark/>
          </w:tcPr>
          <w:p w14:paraId="0B7F7CD6"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Primaria</w:t>
            </w:r>
          </w:p>
        </w:tc>
        <w:tc>
          <w:tcPr>
            <w:tcW w:w="379" w:type="pct"/>
            <w:shd w:val="clear" w:color="auto" w:fill="auto"/>
            <w:noWrap/>
            <w:vAlign w:val="center"/>
            <w:hideMark/>
          </w:tcPr>
          <w:p w14:paraId="34E4D80A"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199,08</w:t>
            </w:r>
          </w:p>
        </w:tc>
        <w:tc>
          <w:tcPr>
            <w:tcW w:w="479" w:type="pct"/>
            <w:shd w:val="clear" w:color="auto" w:fill="auto"/>
            <w:noWrap/>
            <w:vAlign w:val="center"/>
            <w:hideMark/>
          </w:tcPr>
          <w:p w14:paraId="4A40B73F"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10.798,23</w:t>
            </w:r>
          </w:p>
        </w:tc>
        <w:tc>
          <w:tcPr>
            <w:tcW w:w="431" w:type="pct"/>
            <w:shd w:val="clear" w:color="auto" w:fill="auto"/>
            <w:noWrap/>
            <w:vAlign w:val="center"/>
          </w:tcPr>
          <w:p w14:paraId="2FC2CDE5" w14:textId="114B3372" w:rsidR="00911ACE" w:rsidRPr="008D0D1A" w:rsidRDefault="00911ACE" w:rsidP="002D5FA8">
            <w:pPr>
              <w:jc w:val="right"/>
              <w:rPr>
                <w:color w:val="000000"/>
                <w:sz w:val="13"/>
                <w:szCs w:val="13"/>
                <w:lang w:val="es-CO" w:eastAsia="es-CO"/>
              </w:rPr>
            </w:pPr>
            <w:r>
              <w:rPr>
                <w:color w:val="000000"/>
                <w:sz w:val="13"/>
                <w:szCs w:val="13"/>
                <w:lang w:val="es-CO" w:eastAsia="es-CO"/>
              </w:rPr>
              <w:t>199,8</w:t>
            </w:r>
          </w:p>
        </w:tc>
        <w:tc>
          <w:tcPr>
            <w:tcW w:w="455" w:type="pct"/>
            <w:tcBorders>
              <w:top w:val="nil"/>
              <w:left w:val="nil"/>
              <w:bottom w:val="single" w:sz="8" w:space="0" w:color="auto"/>
              <w:right w:val="single" w:sz="8" w:space="0" w:color="auto"/>
            </w:tcBorders>
            <w:shd w:val="clear" w:color="auto" w:fill="auto"/>
            <w:noWrap/>
            <w:vAlign w:val="center"/>
          </w:tcPr>
          <w:p w14:paraId="5F619425" w14:textId="34A80D4A" w:rsidR="00911ACE" w:rsidRPr="008D0D1A" w:rsidRDefault="00911ACE" w:rsidP="002D5FA8">
            <w:pPr>
              <w:jc w:val="right"/>
              <w:rPr>
                <w:color w:val="000000"/>
                <w:sz w:val="13"/>
                <w:szCs w:val="13"/>
                <w:lang w:val="es-CO" w:eastAsia="es-CO"/>
              </w:rPr>
            </w:pPr>
            <w:r>
              <w:rPr>
                <w:color w:val="000000"/>
                <w:sz w:val="13"/>
                <w:szCs w:val="13"/>
              </w:rPr>
              <w:t xml:space="preserve">10.837,28 </w:t>
            </w:r>
          </w:p>
        </w:tc>
        <w:tc>
          <w:tcPr>
            <w:tcW w:w="378" w:type="pct"/>
            <w:tcBorders>
              <w:top w:val="nil"/>
              <w:left w:val="nil"/>
              <w:bottom w:val="single" w:sz="8" w:space="0" w:color="auto"/>
              <w:right w:val="single" w:sz="8" w:space="0" w:color="auto"/>
            </w:tcBorders>
            <w:shd w:val="clear" w:color="auto" w:fill="auto"/>
            <w:noWrap/>
            <w:vAlign w:val="center"/>
          </w:tcPr>
          <w:p w14:paraId="3D7D33FF" w14:textId="05DA402E" w:rsidR="00911ACE" w:rsidRPr="008D0D1A" w:rsidRDefault="00911ACE" w:rsidP="002D5FA8">
            <w:pPr>
              <w:jc w:val="right"/>
              <w:rPr>
                <w:color w:val="000000"/>
                <w:sz w:val="13"/>
                <w:szCs w:val="13"/>
                <w:lang w:val="es-CO" w:eastAsia="es-CO"/>
              </w:rPr>
            </w:pPr>
            <w:r>
              <w:rPr>
                <w:color w:val="000000"/>
                <w:sz w:val="13"/>
                <w:szCs w:val="13"/>
              </w:rPr>
              <w:t xml:space="preserve">-0,72 </w:t>
            </w:r>
          </w:p>
        </w:tc>
        <w:tc>
          <w:tcPr>
            <w:tcW w:w="453" w:type="pct"/>
            <w:tcBorders>
              <w:top w:val="nil"/>
              <w:left w:val="nil"/>
              <w:bottom w:val="single" w:sz="8" w:space="0" w:color="auto"/>
              <w:right w:val="single" w:sz="8" w:space="0" w:color="auto"/>
            </w:tcBorders>
            <w:shd w:val="clear" w:color="auto" w:fill="auto"/>
            <w:noWrap/>
            <w:vAlign w:val="center"/>
          </w:tcPr>
          <w:p w14:paraId="07408E57" w14:textId="3C858DCD" w:rsidR="00911ACE" w:rsidRPr="008D0D1A" w:rsidRDefault="00911ACE" w:rsidP="002D5FA8">
            <w:pPr>
              <w:jc w:val="right"/>
              <w:rPr>
                <w:color w:val="000000"/>
                <w:sz w:val="13"/>
                <w:szCs w:val="13"/>
                <w:lang w:val="es-CO" w:eastAsia="es-CO"/>
              </w:rPr>
            </w:pPr>
            <w:r>
              <w:rPr>
                <w:color w:val="000000"/>
                <w:sz w:val="13"/>
                <w:szCs w:val="13"/>
              </w:rPr>
              <w:t xml:space="preserve">-39,05 </w:t>
            </w:r>
          </w:p>
        </w:tc>
      </w:tr>
      <w:tr w:rsidR="00911ACE" w:rsidRPr="008D0D1A" w14:paraId="3C9A58D9" w14:textId="77777777" w:rsidTr="002D5FA8">
        <w:trPr>
          <w:trHeight w:val="227"/>
        </w:trPr>
        <w:tc>
          <w:tcPr>
            <w:tcW w:w="907" w:type="pct"/>
            <w:shd w:val="clear" w:color="auto" w:fill="auto"/>
            <w:noWrap/>
            <w:vAlign w:val="center"/>
            <w:hideMark/>
          </w:tcPr>
          <w:p w14:paraId="0FD81701"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Barranquilla - Atlántico</w:t>
            </w:r>
          </w:p>
        </w:tc>
        <w:tc>
          <w:tcPr>
            <w:tcW w:w="456" w:type="pct"/>
            <w:shd w:val="clear" w:color="auto" w:fill="auto"/>
            <w:noWrap/>
            <w:vAlign w:val="center"/>
            <w:hideMark/>
          </w:tcPr>
          <w:p w14:paraId="6FF7483E"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TA4AS</w:t>
            </w:r>
          </w:p>
        </w:tc>
        <w:tc>
          <w:tcPr>
            <w:tcW w:w="532" w:type="pct"/>
            <w:shd w:val="clear" w:color="auto" w:fill="auto"/>
            <w:noWrap/>
            <w:vAlign w:val="center"/>
            <w:hideMark/>
          </w:tcPr>
          <w:p w14:paraId="7C9B6C47" w14:textId="77777777" w:rsidR="00911ACE" w:rsidRPr="008D0D1A" w:rsidRDefault="00911ACE" w:rsidP="00911ACE">
            <w:pPr>
              <w:jc w:val="right"/>
              <w:rPr>
                <w:color w:val="000000"/>
                <w:sz w:val="13"/>
                <w:szCs w:val="13"/>
                <w:lang w:val="es-CO" w:eastAsia="es-CO"/>
              </w:rPr>
            </w:pPr>
            <w:r w:rsidRPr="008D0D1A">
              <w:rPr>
                <w:color w:val="000000"/>
                <w:sz w:val="13"/>
                <w:szCs w:val="13"/>
                <w:lang w:val="es-CO" w:eastAsia="es-CO"/>
              </w:rPr>
              <w:t>180.759.646</w:t>
            </w:r>
          </w:p>
        </w:tc>
        <w:tc>
          <w:tcPr>
            <w:tcW w:w="530" w:type="pct"/>
            <w:shd w:val="clear" w:color="auto" w:fill="auto"/>
            <w:noWrap/>
            <w:vAlign w:val="center"/>
            <w:hideMark/>
          </w:tcPr>
          <w:p w14:paraId="7195E670"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Primaria</w:t>
            </w:r>
          </w:p>
        </w:tc>
        <w:tc>
          <w:tcPr>
            <w:tcW w:w="379" w:type="pct"/>
            <w:shd w:val="clear" w:color="auto" w:fill="auto"/>
            <w:noWrap/>
            <w:vAlign w:val="center"/>
            <w:hideMark/>
          </w:tcPr>
          <w:p w14:paraId="1EB64044"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7,46</w:t>
            </w:r>
          </w:p>
        </w:tc>
        <w:tc>
          <w:tcPr>
            <w:tcW w:w="479" w:type="pct"/>
            <w:shd w:val="clear" w:color="auto" w:fill="auto"/>
            <w:noWrap/>
            <w:vAlign w:val="center"/>
            <w:hideMark/>
          </w:tcPr>
          <w:p w14:paraId="50CC21A1"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1.348,47</w:t>
            </w:r>
          </w:p>
        </w:tc>
        <w:tc>
          <w:tcPr>
            <w:tcW w:w="431" w:type="pct"/>
            <w:shd w:val="clear" w:color="auto" w:fill="auto"/>
            <w:noWrap/>
            <w:vAlign w:val="center"/>
          </w:tcPr>
          <w:p w14:paraId="42330EC8" w14:textId="0772F374" w:rsidR="00911ACE" w:rsidRPr="008D0D1A" w:rsidRDefault="00911ACE" w:rsidP="002D5FA8">
            <w:pPr>
              <w:jc w:val="right"/>
              <w:rPr>
                <w:color w:val="000000"/>
                <w:sz w:val="13"/>
                <w:szCs w:val="13"/>
                <w:lang w:val="es-CO" w:eastAsia="es-CO"/>
              </w:rPr>
            </w:pPr>
            <w:r>
              <w:rPr>
                <w:color w:val="000000"/>
                <w:sz w:val="13"/>
                <w:szCs w:val="13"/>
                <w:lang w:val="es-CO" w:eastAsia="es-CO"/>
              </w:rPr>
              <w:t>7,46</w:t>
            </w:r>
          </w:p>
        </w:tc>
        <w:tc>
          <w:tcPr>
            <w:tcW w:w="455" w:type="pct"/>
            <w:tcBorders>
              <w:top w:val="nil"/>
              <w:left w:val="nil"/>
              <w:bottom w:val="single" w:sz="8" w:space="0" w:color="auto"/>
              <w:right w:val="single" w:sz="8" w:space="0" w:color="auto"/>
            </w:tcBorders>
            <w:shd w:val="clear" w:color="auto" w:fill="auto"/>
            <w:noWrap/>
            <w:vAlign w:val="center"/>
          </w:tcPr>
          <w:p w14:paraId="3BCADAB6" w14:textId="0714BA4C" w:rsidR="00911ACE" w:rsidRPr="008D0D1A" w:rsidRDefault="00911ACE" w:rsidP="002D5FA8">
            <w:pPr>
              <w:jc w:val="right"/>
              <w:rPr>
                <w:color w:val="000000"/>
                <w:sz w:val="13"/>
                <w:szCs w:val="13"/>
                <w:lang w:val="es-CO" w:eastAsia="es-CO"/>
              </w:rPr>
            </w:pPr>
            <w:r>
              <w:rPr>
                <w:color w:val="000000"/>
                <w:sz w:val="13"/>
                <w:szCs w:val="13"/>
              </w:rPr>
              <w:t xml:space="preserve">1.348,47 </w:t>
            </w:r>
          </w:p>
        </w:tc>
        <w:tc>
          <w:tcPr>
            <w:tcW w:w="378" w:type="pct"/>
            <w:tcBorders>
              <w:top w:val="nil"/>
              <w:left w:val="nil"/>
              <w:bottom w:val="single" w:sz="8" w:space="0" w:color="auto"/>
              <w:right w:val="single" w:sz="8" w:space="0" w:color="auto"/>
            </w:tcBorders>
            <w:shd w:val="clear" w:color="auto" w:fill="auto"/>
            <w:noWrap/>
            <w:vAlign w:val="center"/>
          </w:tcPr>
          <w:p w14:paraId="7035399A" w14:textId="16D4CBD6" w:rsidR="00911ACE" w:rsidRPr="008D0D1A" w:rsidRDefault="00911ACE" w:rsidP="002D5FA8">
            <w:pPr>
              <w:jc w:val="right"/>
              <w:rPr>
                <w:color w:val="000000"/>
                <w:sz w:val="13"/>
                <w:szCs w:val="13"/>
                <w:lang w:val="es-CO" w:eastAsia="es-CO"/>
              </w:rPr>
            </w:pPr>
            <w:r>
              <w:rPr>
                <w:color w:val="000000"/>
                <w:sz w:val="13"/>
                <w:szCs w:val="13"/>
              </w:rPr>
              <w:t xml:space="preserve">0,00  </w:t>
            </w:r>
          </w:p>
        </w:tc>
        <w:tc>
          <w:tcPr>
            <w:tcW w:w="453" w:type="pct"/>
            <w:tcBorders>
              <w:top w:val="nil"/>
              <w:left w:val="nil"/>
              <w:bottom w:val="single" w:sz="8" w:space="0" w:color="auto"/>
              <w:right w:val="single" w:sz="8" w:space="0" w:color="auto"/>
            </w:tcBorders>
            <w:shd w:val="clear" w:color="auto" w:fill="auto"/>
            <w:noWrap/>
            <w:vAlign w:val="center"/>
          </w:tcPr>
          <w:p w14:paraId="44EFBFB5" w14:textId="598F5727" w:rsidR="00911ACE" w:rsidRPr="008D0D1A" w:rsidRDefault="00911ACE" w:rsidP="002D5FA8">
            <w:pPr>
              <w:jc w:val="right"/>
              <w:rPr>
                <w:color w:val="000000"/>
                <w:sz w:val="13"/>
                <w:szCs w:val="13"/>
                <w:lang w:val="es-CO" w:eastAsia="es-CO"/>
              </w:rPr>
            </w:pPr>
            <w:r>
              <w:rPr>
                <w:color w:val="000000"/>
                <w:sz w:val="13"/>
                <w:szCs w:val="13"/>
              </w:rPr>
              <w:t xml:space="preserve">0,00 </w:t>
            </w:r>
          </w:p>
        </w:tc>
      </w:tr>
      <w:tr w:rsidR="00911ACE" w:rsidRPr="008D0D1A" w14:paraId="4D900559" w14:textId="77777777" w:rsidTr="002D5FA8">
        <w:trPr>
          <w:trHeight w:val="227"/>
        </w:trPr>
        <w:tc>
          <w:tcPr>
            <w:tcW w:w="907" w:type="pct"/>
            <w:shd w:val="clear" w:color="auto" w:fill="auto"/>
            <w:noWrap/>
            <w:vAlign w:val="center"/>
            <w:hideMark/>
          </w:tcPr>
          <w:p w14:paraId="084F4B5C"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La Paz - Cesar</w:t>
            </w:r>
          </w:p>
        </w:tc>
        <w:tc>
          <w:tcPr>
            <w:tcW w:w="456" w:type="pct"/>
            <w:shd w:val="clear" w:color="auto" w:fill="auto"/>
            <w:noWrap/>
            <w:vAlign w:val="center"/>
            <w:hideMark/>
          </w:tcPr>
          <w:p w14:paraId="650AC9AF"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TPE3/4CO</w:t>
            </w:r>
          </w:p>
        </w:tc>
        <w:tc>
          <w:tcPr>
            <w:tcW w:w="532" w:type="pct"/>
            <w:shd w:val="clear" w:color="auto" w:fill="auto"/>
            <w:noWrap/>
            <w:vAlign w:val="center"/>
            <w:hideMark/>
          </w:tcPr>
          <w:p w14:paraId="69E8206E" w14:textId="77777777" w:rsidR="00911ACE" w:rsidRPr="008D0D1A" w:rsidRDefault="00911ACE" w:rsidP="00911ACE">
            <w:pPr>
              <w:jc w:val="right"/>
              <w:rPr>
                <w:color w:val="000000"/>
                <w:sz w:val="13"/>
                <w:szCs w:val="13"/>
                <w:lang w:val="es-CO" w:eastAsia="es-CO"/>
              </w:rPr>
            </w:pPr>
            <w:r w:rsidRPr="008D0D1A">
              <w:rPr>
                <w:color w:val="000000"/>
                <w:sz w:val="13"/>
                <w:szCs w:val="13"/>
                <w:lang w:val="es-CO" w:eastAsia="es-CO"/>
              </w:rPr>
              <w:t>23.730.287</w:t>
            </w:r>
          </w:p>
        </w:tc>
        <w:tc>
          <w:tcPr>
            <w:tcW w:w="530" w:type="pct"/>
            <w:shd w:val="clear" w:color="auto" w:fill="auto"/>
            <w:noWrap/>
            <w:vAlign w:val="center"/>
            <w:hideMark/>
          </w:tcPr>
          <w:p w14:paraId="0930FE58"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Secundaria</w:t>
            </w:r>
          </w:p>
        </w:tc>
        <w:tc>
          <w:tcPr>
            <w:tcW w:w="379" w:type="pct"/>
            <w:shd w:val="clear" w:color="auto" w:fill="auto"/>
            <w:noWrap/>
            <w:vAlign w:val="center"/>
            <w:hideMark/>
          </w:tcPr>
          <w:p w14:paraId="379A3C67"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48,14</w:t>
            </w:r>
          </w:p>
        </w:tc>
        <w:tc>
          <w:tcPr>
            <w:tcW w:w="479" w:type="pct"/>
            <w:shd w:val="clear" w:color="auto" w:fill="auto"/>
            <w:noWrap/>
            <w:vAlign w:val="center"/>
            <w:hideMark/>
          </w:tcPr>
          <w:p w14:paraId="330C0B5E"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1.142,38</w:t>
            </w:r>
          </w:p>
        </w:tc>
        <w:tc>
          <w:tcPr>
            <w:tcW w:w="431" w:type="pct"/>
            <w:shd w:val="clear" w:color="auto" w:fill="auto"/>
            <w:noWrap/>
            <w:vAlign w:val="center"/>
          </w:tcPr>
          <w:p w14:paraId="701CE7B8" w14:textId="3992496D" w:rsidR="00911ACE" w:rsidRPr="008D0D1A" w:rsidRDefault="00911ACE" w:rsidP="002D5FA8">
            <w:pPr>
              <w:jc w:val="right"/>
              <w:rPr>
                <w:color w:val="000000"/>
                <w:sz w:val="13"/>
                <w:szCs w:val="13"/>
                <w:lang w:val="es-CO" w:eastAsia="es-CO"/>
              </w:rPr>
            </w:pPr>
            <w:r>
              <w:rPr>
                <w:color w:val="000000"/>
                <w:sz w:val="13"/>
                <w:szCs w:val="13"/>
                <w:lang w:val="es-CO" w:eastAsia="es-CO"/>
              </w:rPr>
              <w:t>48,7</w:t>
            </w:r>
          </w:p>
        </w:tc>
        <w:tc>
          <w:tcPr>
            <w:tcW w:w="455" w:type="pct"/>
            <w:tcBorders>
              <w:top w:val="nil"/>
              <w:left w:val="nil"/>
              <w:bottom w:val="single" w:sz="8" w:space="0" w:color="auto"/>
              <w:right w:val="single" w:sz="8" w:space="0" w:color="auto"/>
            </w:tcBorders>
            <w:shd w:val="clear" w:color="auto" w:fill="auto"/>
            <w:noWrap/>
            <w:vAlign w:val="center"/>
          </w:tcPr>
          <w:p w14:paraId="1FF25E21" w14:textId="1C67F1DA" w:rsidR="00911ACE" w:rsidRPr="008D0D1A" w:rsidRDefault="00911ACE" w:rsidP="002D5FA8">
            <w:pPr>
              <w:jc w:val="right"/>
              <w:rPr>
                <w:color w:val="000000"/>
                <w:sz w:val="13"/>
                <w:szCs w:val="13"/>
                <w:lang w:val="es-CO" w:eastAsia="es-CO"/>
              </w:rPr>
            </w:pPr>
            <w:r>
              <w:rPr>
                <w:color w:val="000000"/>
                <w:sz w:val="13"/>
                <w:szCs w:val="13"/>
              </w:rPr>
              <w:t xml:space="preserve">1.155,66 </w:t>
            </w:r>
          </w:p>
        </w:tc>
        <w:tc>
          <w:tcPr>
            <w:tcW w:w="378" w:type="pct"/>
            <w:tcBorders>
              <w:top w:val="nil"/>
              <w:left w:val="nil"/>
              <w:bottom w:val="single" w:sz="8" w:space="0" w:color="auto"/>
              <w:right w:val="single" w:sz="8" w:space="0" w:color="auto"/>
            </w:tcBorders>
            <w:shd w:val="clear" w:color="auto" w:fill="auto"/>
            <w:noWrap/>
            <w:vAlign w:val="center"/>
          </w:tcPr>
          <w:p w14:paraId="3011DB33" w14:textId="0EA80352" w:rsidR="00911ACE" w:rsidRPr="008D0D1A" w:rsidRDefault="00911ACE" w:rsidP="002D5FA8">
            <w:pPr>
              <w:jc w:val="right"/>
              <w:rPr>
                <w:color w:val="000000"/>
                <w:sz w:val="13"/>
                <w:szCs w:val="13"/>
                <w:lang w:val="es-CO" w:eastAsia="es-CO"/>
              </w:rPr>
            </w:pPr>
            <w:r>
              <w:rPr>
                <w:color w:val="000000"/>
                <w:sz w:val="13"/>
                <w:szCs w:val="13"/>
              </w:rPr>
              <w:t xml:space="preserve">-0,56 </w:t>
            </w:r>
          </w:p>
        </w:tc>
        <w:tc>
          <w:tcPr>
            <w:tcW w:w="453" w:type="pct"/>
            <w:tcBorders>
              <w:top w:val="nil"/>
              <w:left w:val="nil"/>
              <w:bottom w:val="single" w:sz="8" w:space="0" w:color="auto"/>
              <w:right w:val="single" w:sz="8" w:space="0" w:color="auto"/>
            </w:tcBorders>
            <w:shd w:val="clear" w:color="auto" w:fill="auto"/>
            <w:noWrap/>
            <w:vAlign w:val="center"/>
          </w:tcPr>
          <w:p w14:paraId="38130ABF" w14:textId="65651078" w:rsidR="00911ACE" w:rsidRPr="008D0D1A" w:rsidRDefault="00911ACE" w:rsidP="002D5FA8">
            <w:pPr>
              <w:jc w:val="right"/>
              <w:rPr>
                <w:color w:val="000000"/>
                <w:sz w:val="13"/>
                <w:szCs w:val="13"/>
                <w:lang w:val="es-CO" w:eastAsia="es-CO"/>
              </w:rPr>
            </w:pPr>
            <w:r>
              <w:rPr>
                <w:color w:val="000000"/>
                <w:sz w:val="13"/>
                <w:szCs w:val="13"/>
              </w:rPr>
              <w:t xml:space="preserve">-13,28 </w:t>
            </w:r>
          </w:p>
        </w:tc>
      </w:tr>
      <w:tr w:rsidR="00911ACE" w:rsidRPr="008D0D1A" w14:paraId="7183F9DA" w14:textId="77777777" w:rsidTr="002D5FA8">
        <w:trPr>
          <w:trHeight w:val="227"/>
        </w:trPr>
        <w:tc>
          <w:tcPr>
            <w:tcW w:w="907" w:type="pct"/>
            <w:shd w:val="clear" w:color="auto" w:fill="auto"/>
            <w:noWrap/>
            <w:vAlign w:val="center"/>
            <w:hideMark/>
          </w:tcPr>
          <w:p w14:paraId="2929F782"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Valledupar - Cesar</w:t>
            </w:r>
          </w:p>
        </w:tc>
        <w:tc>
          <w:tcPr>
            <w:tcW w:w="456" w:type="pct"/>
            <w:shd w:val="clear" w:color="auto" w:fill="auto"/>
            <w:noWrap/>
            <w:vAlign w:val="center"/>
            <w:hideMark/>
          </w:tcPr>
          <w:p w14:paraId="4A08F757"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TPE3AS</w:t>
            </w:r>
          </w:p>
        </w:tc>
        <w:tc>
          <w:tcPr>
            <w:tcW w:w="532" w:type="pct"/>
            <w:shd w:val="clear" w:color="auto" w:fill="auto"/>
            <w:noWrap/>
            <w:vAlign w:val="center"/>
            <w:hideMark/>
          </w:tcPr>
          <w:p w14:paraId="55059886" w14:textId="77777777" w:rsidR="00911ACE" w:rsidRPr="008D0D1A" w:rsidRDefault="00911ACE" w:rsidP="00911ACE">
            <w:pPr>
              <w:jc w:val="right"/>
              <w:rPr>
                <w:color w:val="000000"/>
                <w:sz w:val="13"/>
                <w:szCs w:val="13"/>
                <w:lang w:val="es-CO" w:eastAsia="es-CO"/>
              </w:rPr>
            </w:pPr>
            <w:r w:rsidRPr="008D0D1A">
              <w:rPr>
                <w:color w:val="000000"/>
                <w:sz w:val="13"/>
                <w:szCs w:val="13"/>
                <w:lang w:val="es-CO" w:eastAsia="es-CO"/>
              </w:rPr>
              <w:t>54.240.655</w:t>
            </w:r>
          </w:p>
        </w:tc>
        <w:tc>
          <w:tcPr>
            <w:tcW w:w="530" w:type="pct"/>
            <w:shd w:val="clear" w:color="auto" w:fill="auto"/>
            <w:noWrap/>
            <w:vAlign w:val="center"/>
            <w:hideMark/>
          </w:tcPr>
          <w:p w14:paraId="52B9374D"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Primaria</w:t>
            </w:r>
          </w:p>
        </w:tc>
        <w:tc>
          <w:tcPr>
            <w:tcW w:w="379" w:type="pct"/>
            <w:shd w:val="clear" w:color="auto" w:fill="auto"/>
            <w:noWrap/>
            <w:vAlign w:val="center"/>
            <w:hideMark/>
          </w:tcPr>
          <w:p w14:paraId="268B7105"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0,02</w:t>
            </w:r>
          </w:p>
        </w:tc>
        <w:tc>
          <w:tcPr>
            <w:tcW w:w="479" w:type="pct"/>
            <w:shd w:val="clear" w:color="auto" w:fill="auto"/>
            <w:noWrap/>
            <w:vAlign w:val="center"/>
            <w:hideMark/>
          </w:tcPr>
          <w:p w14:paraId="4E7BA3CF"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1,08</w:t>
            </w:r>
          </w:p>
        </w:tc>
        <w:tc>
          <w:tcPr>
            <w:tcW w:w="431" w:type="pct"/>
            <w:shd w:val="clear" w:color="auto" w:fill="auto"/>
            <w:noWrap/>
            <w:vAlign w:val="center"/>
          </w:tcPr>
          <w:p w14:paraId="7848119D" w14:textId="2DAAD512" w:rsidR="00911ACE" w:rsidRPr="008D0D1A" w:rsidRDefault="00911ACE" w:rsidP="002D5FA8">
            <w:pPr>
              <w:jc w:val="right"/>
              <w:rPr>
                <w:color w:val="000000"/>
                <w:sz w:val="13"/>
                <w:szCs w:val="13"/>
                <w:lang w:val="es-CO" w:eastAsia="es-CO"/>
              </w:rPr>
            </w:pPr>
            <w:r>
              <w:rPr>
                <w:color w:val="000000"/>
                <w:sz w:val="13"/>
                <w:szCs w:val="13"/>
                <w:lang w:val="es-CO" w:eastAsia="es-CO"/>
              </w:rPr>
              <w:t>9,3</w:t>
            </w:r>
          </w:p>
        </w:tc>
        <w:tc>
          <w:tcPr>
            <w:tcW w:w="455" w:type="pct"/>
            <w:tcBorders>
              <w:top w:val="nil"/>
              <w:left w:val="nil"/>
              <w:bottom w:val="single" w:sz="8" w:space="0" w:color="auto"/>
              <w:right w:val="single" w:sz="8" w:space="0" w:color="auto"/>
            </w:tcBorders>
            <w:shd w:val="clear" w:color="auto" w:fill="auto"/>
            <w:noWrap/>
            <w:vAlign w:val="center"/>
          </w:tcPr>
          <w:p w14:paraId="7FD8B6EE" w14:textId="19DE6767" w:rsidR="00911ACE" w:rsidRPr="008D0D1A" w:rsidRDefault="00911ACE" w:rsidP="002D5FA8">
            <w:pPr>
              <w:jc w:val="right"/>
              <w:rPr>
                <w:color w:val="000000"/>
                <w:sz w:val="13"/>
                <w:szCs w:val="13"/>
                <w:lang w:val="es-CO" w:eastAsia="es-CO"/>
              </w:rPr>
            </w:pPr>
            <w:r>
              <w:rPr>
                <w:color w:val="000000"/>
                <w:sz w:val="13"/>
                <w:szCs w:val="13"/>
              </w:rPr>
              <w:t xml:space="preserve">504,44 </w:t>
            </w:r>
          </w:p>
        </w:tc>
        <w:tc>
          <w:tcPr>
            <w:tcW w:w="378" w:type="pct"/>
            <w:tcBorders>
              <w:top w:val="nil"/>
              <w:left w:val="nil"/>
              <w:bottom w:val="single" w:sz="8" w:space="0" w:color="auto"/>
              <w:right w:val="single" w:sz="8" w:space="0" w:color="auto"/>
            </w:tcBorders>
            <w:shd w:val="clear" w:color="auto" w:fill="auto"/>
            <w:noWrap/>
            <w:vAlign w:val="center"/>
          </w:tcPr>
          <w:p w14:paraId="37EED541" w14:textId="1EAC67F6" w:rsidR="00911ACE" w:rsidRPr="008D0D1A" w:rsidRDefault="00911ACE" w:rsidP="002D5FA8">
            <w:pPr>
              <w:jc w:val="right"/>
              <w:rPr>
                <w:color w:val="000000"/>
                <w:sz w:val="13"/>
                <w:szCs w:val="13"/>
                <w:lang w:val="es-CO" w:eastAsia="es-CO"/>
              </w:rPr>
            </w:pPr>
            <w:r>
              <w:rPr>
                <w:color w:val="000000"/>
                <w:sz w:val="13"/>
                <w:szCs w:val="13"/>
              </w:rPr>
              <w:t xml:space="preserve">-9,28 </w:t>
            </w:r>
          </w:p>
        </w:tc>
        <w:tc>
          <w:tcPr>
            <w:tcW w:w="453" w:type="pct"/>
            <w:tcBorders>
              <w:top w:val="nil"/>
              <w:left w:val="nil"/>
              <w:bottom w:val="single" w:sz="8" w:space="0" w:color="auto"/>
              <w:right w:val="single" w:sz="8" w:space="0" w:color="auto"/>
            </w:tcBorders>
            <w:shd w:val="clear" w:color="auto" w:fill="auto"/>
            <w:noWrap/>
            <w:vAlign w:val="center"/>
          </w:tcPr>
          <w:p w14:paraId="6077DDC7" w14:textId="4A7823AA" w:rsidR="00911ACE" w:rsidRPr="008D0D1A" w:rsidRDefault="00911ACE" w:rsidP="002D5FA8">
            <w:pPr>
              <w:jc w:val="right"/>
              <w:rPr>
                <w:color w:val="000000"/>
                <w:sz w:val="13"/>
                <w:szCs w:val="13"/>
                <w:lang w:val="es-CO" w:eastAsia="es-CO"/>
              </w:rPr>
            </w:pPr>
            <w:r>
              <w:rPr>
                <w:color w:val="000000"/>
                <w:sz w:val="13"/>
                <w:szCs w:val="13"/>
              </w:rPr>
              <w:t xml:space="preserve">-503,36 </w:t>
            </w:r>
          </w:p>
        </w:tc>
      </w:tr>
      <w:tr w:rsidR="00911ACE" w:rsidRPr="008D0D1A" w14:paraId="07D01C88" w14:textId="77777777" w:rsidTr="002D5FA8">
        <w:trPr>
          <w:trHeight w:val="227"/>
        </w:trPr>
        <w:tc>
          <w:tcPr>
            <w:tcW w:w="907" w:type="pct"/>
            <w:shd w:val="clear" w:color="auto" w:fill="auto"/>
            <w:noWrap/>
            <w:vAlign w:val="center"/>
            <w:hideMark/>
          </w:tcPr>
          <w:p w14:paraId="6F1502E0"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Valledupar - Cesar</w:t>
            </w:r>
          </w:p>
        </w:tc>
        <w:tc>
          <w:tcPr>
            <w:tcW w:w="456" w:type="pct"/>
            <w:shd w:val="clear" w:color="auto" w:fill="auto"/>
            <w:noWrap/>
            <w:vAlign w:val="center"/>
            <w:hideMark/>
          </w:tcPr>
          <w:p w14:paraId="141C2DC2"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TPE4AS</w:t>
            </w:r>
          </w:p>
        </w:tc>
        <w:tc>
          <w:tcPr>
            <w:tcW w:w="532" w:type="pct"/>
            <w:shd w:val="clear" w:color="auto" w:fill="auto"/>
            <w:noWrap/>
            <w:vAlign w:val="center"/>
            <w:hideMark/>
          </w:tcPr>
          <w:p w14:paraId="181431FD" w14:textId="77777777" w:rsidR="00911ACE" w:rsidRPr="008D0D1A" w:rsidRDefault="00911ACE" w:rsidP="00911ACE">
            <w:pPr>
              <w:jc w:val="right"/>
              <w:rPr>
                <w:color w:val="000000"/>
                <w:sz w:val="13"/>
                <w:szCs w:val="13"/>
                <w:lang w:val="es-CO" w:eastAsia="es-CO"/>
              </w:rPr>
            </w:pPr>
            <w:r w:rsidRPr="008D0D1A">
              <w:rPr>
                <w:color w:val="000000"/>
                <w:sz w:val="13"/>
                <w:szCs w:val="13"/>
                <w:lang w:val="es-CO" w:eastAsia="es-CO"/>
              </w:rPr>
              <w:t>54.240.655</w:t>
            </w:r>
          </w:p>
        </w:tc>
        <w:tc>
          <w:tcPr>
            <w:tcW w:w="530" w:type="pct"/>
            <w:shd w:val="clear" w:color="auto" w:fill="auto"/>
            <w:noWrap/>
            <w:vAlign w:val="center"/>
            <w:hideMark/>
          </w:tcPr>
          <w:p w14:paraId="59CE6776"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Primaria</w:t>
            </w:r>
          </w:p>
        </w:tc>
        <w:tc>
          <w:tcPr>
            <w:tcW w:w="379" w:type="pct"/>
            <w:shd w:val="clear" w:color="auto" w:fill="auto"/>
            <w:noWrap/>
            <w:vAlign w:val="center"/>
            <w:hideMark/>
          </w:tcPr>
          <w:p w14:paraId="5E640EAE"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0,01</w:t>
            </w:r>
          </w:p>
        </w:tc>
        <w:tc>
          <w:tcPr>
            <w:tcW w:w="479" w:type="pct"/>
            <w:shd w:val="clear" w:color="auto" w:fill="auto"/>
            <w:noWrap/>
            <w:vAlign w:val="center"/>
            <w:hideMark/>
          </w:tcPr>
          <w:p w14:paraId="3F9409DE"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0,54</w:t>
            </w:r>
          </w:p>
        </w:tc>
        <w:tc>
          <w:tcPr>
            <w:tcW w:w="431" w:type="pct"/>
            <w:shd w:val="clear" w:color="auto" w:fill="auto"/>
            <w:noWrap/>
            <w:vAlign w:val="center"/>
          </w:tcPr>
          <w:p w14:paraId="2D4B6FA1" w14:textId="7A1E5993" w:rsidR="00911ACE" w:rsidRPr="008D0D1A" w:rsidRDefault="00911ACE" w:rsidP="002D5FA8">
            <w:pPr>
              <w:jc w:val="right"/>
              <w:rPr>
                <w:color w:val="000000"/>
                <w:sz w:val="13"/>
                <w:szCs w:val="13"/>
                <w:lang w:val="es-CO" w:eastAsia="es-CO"/>
              </w:rPr>
            </w:pPr>
            <w:r>
              <w:rPr>
                <w:color w:val="000000"/>
                <w:sz w:val="13"/>
                <w:szCs w:val="13"/>
                <w:lang w:val="es-CO" w:eastAsia="es-CO"/>
              </w:rPr>
              <w:t>80,4</w:t>
            </w:r>
          </w:p>
        </w:tc>
        <w:tc>
          <w:tcPr>
            <w:tcW w:w="455" w:type="pct"/>
            <w:tcBorders>
              <w:top w:val="nil"/>
              <w:left w:val="nil"/>
              <w:bottom w:val="single" w:sz="8" w:space="0" w:color="auto"/>
              <w:right w:val="single" w:sz="8" w:space="0" w:color="auto"/>
            </w:tcBorders>
            <w:shd w:val="clear" w:color="auto" w:fill="auto"/>
            <w:noWrap/>
            <w:vAlign w:val="center"/>
          </w:tcPr>
          <w:p w14:paraId="42062F22" w14:textId="2DCC338C" w:rsidR="00911ACE" w:rsidRPr="008D0D1A" w:rsidRDefault="00911ACE" w:rsidP="002D5FA8">
            <w:pPr>
              <w:jc w:val="right"/>
              <w:rPr>
                <w:color w:val="000000"/>
                <w:sz w:val="13"/>
                <w:szCs w:val="13"/>
                <w:lang w:val="es-CO" w:eastAsia="es-CO"/>
              </w:rPr>
            </w:pPr>
            <w:r>
              <w:rPr>
                <w:color w:val="000000"/>
                <w:sz w:val="13"/>
                <w:szCs w:val="13"/>
              </w:rPr>
              <w:t xml:space="preserve">4.360,95 </w:t>
            </w:r>
          </w:p>
        </w:tc>
        <w:tc>
          <w:tcPr>
            <w:tcW w:w="378" w:type="pct"/>
            <w:tcBorders>
              <w:top w:val="nil"/>
              <w:left w:val="nil"/>
              <w:bottom w:val="single" w:sz="8" w:space="0" w:color="auto"/>
              <w:right w:val="single" w:sz="8" w:space="0" w:color="auto"/>
            </w:tcBorders>
            <w:shd w:val="clear" w:color="auto" w:fill="auto"/>
            <w:noWrap/>
            <w:vAlign w:val="center"/>
          </w:tcPr>
          <w:p w14:paraId="024AF54F" w14:textId="4294E326" w:rsidR="00911ACE" w:rsidRPr="008D0D1A" w:rsidRDefault="00911ACE" w:rsidP="002D5FA8">
            <w:pPr>
              <w:jc w:val="right"/>
              <w:rPr>
                <w:color w:val="000000"/>
                <w:sz w:val="13"/>
                <w:szCs w:val="13"/>
                <w:lang w:val="es-CO" w:eastAsia="es-CO"/>
              </w:rPr>
            </w:pPr>
            <w:r>
              <w:rPr>
                <w:color w:val="000000"/>
                <w:sz w:val="13"/>
                <w:szCs w:val="13"/>
              </w:rPr>
              <w:t xml:space="preserve">-80,39 </w:t>
            </w:r>
          </w:p>
        </w:tc>
        <w:tc>
          <w:tcPr>
            <w:tcW w:w="453" w:type="pct"/>
            <w:tcBorders>
              <w:top w:val="nil"/>
              <w:left w:val="nil"/>
              <w:bottom w:val="single" w:sz="8" w:space="0" w:color="auto"/>
              <w:right w:val="single" w:sz="8" w:space="0" w:color="auto"/>
            </w:tcBorders>
            <w:shd w:val="clear" w:color="auto" w:fill="auto"/>
            <w:noWrap/>
            <w:vAlign w:val="center"/>
          </w:tcPr>
          <w:p w14:paraId="10B195E5" w14:textId="1E787F71" w:rsidR="00911ACE" w:rsidRPr="008D0D1A" w:rsidRDefault="00911ACE" w:rsidP="002D5FA8">
            <w:pPr>
              <w:jc w:val="right"/>
              <w:rPr>
                <w:color w:val="000000"/>
                <w:sz w:val="13"/>
                <w:szCs w:val="13"/>
                <w:lang w:val="es-CO" w:eastAsia="es-CO"/>
              </w:rPr>
            </w:pPr>
            <w:r>
              <w:rPr>
                <w:color w:val="000000"/>
                <w:sz w:val="13"/>
                <w:szCs w:val="13"/>
              </w:rPr>
              <w:t xml:space="preserve">-4.360,41 </w:t>
            </w:r>
          </w:p>
        </w:tc>
      </w:tr>
      <w:tr w:rsidR="00911ACE" w:rsidRPr="008D0D1A" w14:paraId="322570FC" w14:textId="77777777" w:rsidTr="002D5FA8">
        <w:trPr>
          <w:trHeight w:val="227"/>
        </w:trPr>
        <w:tc>
          <w:tcPr>
            <w:tcW w:w="907" w:type="pct"/>
            <w:tcBorders>
              <w:bottom w:val="single" w:sz="4" w:space="0" w:color="auto"/>
            </w:tcBorders>
            <w:shd w:val="clear" w:color="auto" w:fill="auto"/>
            <w:noWrap/>
            <w:vAlign w:val="center"/>
            <w:hideMark/>
          </w:tcPr>
          <w:p w14:paraId="55E34993"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Valledupar - Cesar</w:t>
            </w:r>
          </w:p>
        </w:tc>
        <w:tc>
          <w:tcPr>
            <w:tcW w:w="456" w:type="pct"/>
            <w:tcBorders>
              <w:bottom w:val="single" w:sz="4" w:space="0" w:color="auto"/>
            </w:tcBorders>
            <w:shd w:val="clear" w:color="auto" w:fill="auto"/>
            <w:noWrap/>
            <w:vAlign w:val="center"/>
            <w:hideMark/>
          </w:tcPr>
          <w:p w14:paraId="0B8A60C6"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TPE1/2CO</w:t>
            </w:r>
          </w:p>
        </w:tc>
        <w:tc>
          <w:tcPr>
            <w:tcW w:w="532" w:type="pct"/>
            <w:tcBorders>
              <w:bottom w:val="single" w:sz="4" w:space="0" w:color="auto"/>
            </w:tcBorders>
            <w:shd w:val="clear" w:color="auto" w:fill="auto"/>
            <w:noWrap/>
            <w:vAlign w:val="center"/>
            <w:hideMark/>
          </w:tcPr>
          <w:p w14:paraId="56AF53A3" w14:textId="77777777" w:rsidR="00911ACE" w:rsidRPr="008D0D1A" w:rsidRDefault="00911ACE" w:rsidP="00911ACE">
            <w:pPr>
              <w:jc w:val="right"/>
              <w:rPr>
                <w:color w:val="000000"/>
                <w:sz w:val="13"/>
                <w:szCs w:val="13"/>
                <w:lang w:val="es-CO" w:eastAsia="es-CO"/>
              </w:rPr>
            </w:pPr>
            <w:r w:rsidRPr="008D0D1A">
              <w:rPr>
                <w:color w:val="000000"/>
                <w:sz w:val="13"/>
                <w:szCs w:val="13"/>
                <w:lang w:val="es-CO" w:eastAsia="es-CO"/>
              </w:rPr>
              <w:t>23.730.287</w:t>
            </w:r>
          </w:p>
        </w:tc>
        <w:tc>
          <w:tcPr>
            <w:tcW w:w="530" w:type="pct"/>
            <w:shd w:val="clear" w:color="auto" w:fill="auto"/>
            <w:noWrap/>
            <w:vAlign w:val="center"/>
            <w:hideMark/>
          </w:tcPr>
          <w:p w14:paraId="1F28678A"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Secundaria</w:t>
            </w:r>
          </w:p>
        </w:tc>
        <w:tc>
          <w:tcPr>
            <w:tcW w:w="379" w:type="pct"/>
            <w:shd w:val="clear" w:color="auto" w:fill="auto"/>
            <w:noWrap/>
            <w:vAlign w:val="center"/>
            <w:hideMark/>
          </w:tcPr>
          <w:p w14:paraId="6C18CC02"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10,95</w:t>
            </w:r>
          </w:p>
        </w:tc>
        <w:tc>
          <w:tcPr>
            <w:tcW w:w="479" w:type="pct"/>
            <w:shd w:val="clear" w:color="auto" w:fill="auto"/>
            <w:noWrap/>
            <w:vAlign w:val="center"/>
            <w:hideMark/>
          </w:tcPr>
          <w:p w14:paraId="0E574F62"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259,85</w:t>
            </w:r>
          </w:p>
        </w:tc>
        <w:tc>
          <w:tcPr>
            <w:tcW w:w="431" w:type="pct"/>
            <w:shd w:val="clear" w:color="auto" w:fill="auto"/>
            <w:noWrap/>
            <w:vAlign w:val="center"/>
          </w:tcPr>
          <w:p w14:paraId="468D1062" w14:textId="2003A246" w:rsidR="00911ACE" w:rsidRPr="008D0D1A" w:rsidRDefault="00911ACE" w:rsidP="002D5FA8">
            <w:pPr>
              <w:jc w:val="right"/>
              <w:rPr>
                <w:color w:val="000000"/>
                <w:sz w:val="13"/>
                <w:szCs w:val="13"/>
                <w:lang w:val="es-CO" w:eastAsia="es-CO"/>
              </w:rPr>
            </w:pPr>
            <w:r>
              <w:rPr>
                <w:color w:val="000000"/>
                <w:sz w:val="13"/>
                <w:szCs w:val="13"/>
                <w:lang w:val="es-CO" w:eastAsia="es-CO"/>
              </w:rPr>
              <w:t>632,9</w:t>
            </w:r>
          </w:p>
        </w:tc>
        <w:tc>
          <w:tcPr>
            <w:tcW w:w="455" w:type="pct"/>
            <w:tcBorders>
              <w:top w:val="nil"/>
              <w:left w:val="nil"/>
              <w:bottom w:val="single" w:sz="8" w:space="0" w:color="auto"/>
              <w:right w:val="single" w:sz="8" w:space="0" w:color="auto"/>
            </w:tcBorders>
            <w:shd w:val="clear" w:color="auto" w:fill="auto"/>
            <w:noWrap/>
            <w:vAlign w:val="center"/>
          </w:tcPr>
          <w:p w14:paraId="2CBA58C5" w14:textId="697E2ACC" w:rsidR="00911ACE" w:rsidRPr="008D0D1A" w:rsidRDefault="00911ACE" w:rsidP="002D5FA8">
            <w:pPr>
              <w:jc w:val="right"/>
              <w:rPr>
                <w:color w:val="000000"/>
                <w:sz w:val="13"/>
                <w:szCs w:val="13"/>
                <w:lang w:val="es-CO" w:eastAsia="es-CO"/>
              </w:rPr>
            </w:pPr>
            <w:r>
              <w:rPr>
                <w:color w:val="000000"/>
                <w:sz w:val="13"/>
                <w:szCs w:val="13"/>
              </w:rPr>
              <w:t xml:space="preserve">15.018,90 </w:t>
            </w:r>
          </w:p>
        </w:tc>
        <w:tc>
          <w:tcPr>
            <w:tcW w:w="378" w:type="pct"/>
            <w:tcBorders>
              <w:top w:val="nil"/>
              <w:left w:val="nil"/>
              <w:bottom w:val="single" w:sz="8" w:space="0" w:color="auto"/>
              <w:right w:val="single" w:sz="8" w:space="0" w:color="auto"/>
            </w:tcBorders>
            <w:shd w:val="clear" w:color="auto" w:fill="auto"/>
            <w:noWrap/>
            <w:vAlign w:val="center"/>
          </w:tcPr>
          <w:p w14:paraId="03EC36E4" w14:textId="1CFB7721" w:rsidR="00911ACE" w:rsidRPr="008D0D1A" w:rsidRDefault="00911ACE" w:rsidP="002D5FA8">
            <w:pPr>
              <w:jc w:val="right"/>
              <w:rPr>
                <w:color w:val="000000"/>
                <w:sz w:val="13"/>
                <w:szCs w:val="13"/>
                <w:lang w:val="es-CO" w:eastAsia="es-CO"/>
              </w:rPr>
            </w:pPr>
            <w:r>
              <w:rPr>
                <w:color w:val="000000"/>
                <w:sz w:val="13"/>
                <w:szCs w:val="13"/>
              </w:rPr>
              <w:t xml:space="preserve">-621,95 </w:t>
            </w:r>
          </w:p>
        </w:tc>
        <w:tc>
          <w:tcPr>
            <w:tcW w:w="453" w:type="pct"/>
            <w:tcBorders>
              <w:top w:val="nil"/>
              <w:left w:val="nil"/>
              <w:bottom w:val="single" w:sz="8" w:space="0" w:color="auto"/>
              <w:right w:val="single" w:sz="8" w:space="0" w:color="auto"/>
            </w:tcBorders>
            <w:shd w:val="clear" w:color="auto" w:fill="auto"/>
            <w:noWrap/>
            <w:vAlign w:val="center"/>
          </w:tcPr>
          <w:p w14:paraId="18027A95" w14:textId="46A9849F" w:rsidR="00911ACE" w:rsidRPr="008D0D1A" w:rsidRDefault="00911ACE" w:rsidP="002D5FA8">
            <w:pPr>
              <w:jc w:val="right"/>
              <w:rPr>
                <w:color w:val="000000"/>
                <w:sz w:val="13"/>
                <w:szCs w:val="13"/>
                <w:lang w:val="es-CO" w:eastAsia="es-CO"/>
              </w:rPr>
            </w:pPr>
            <w:r>
              <w:rPr>
                <w:color w:val="000000"/>
                <w:sz w:val="13"/>
                <w:szCs w:val="13"/>
              </w:rPr>
              <w:t xml:space="preserve">-14.759,05 </w:t>
            </w:r>
          </w:p>
        </w:tc>
      </w:tr>
      <w:tr w:rsidR="00911ACE" w:rsidRPr="008D0D1A" w14:paraId="6CBCB2BD" w14:textId="77777777" w:rsidTr="002D5FA8">
        <w:trPr>
          <w:trHeight w:val="227"/>
        </w:trPr>
        <w:tc>
          <w:tcPr>
            <w:tcW w:w="907" w:type="pct"/>
            <w:tcBorders>
              <w:bottom w:val="single" w:sz="4" w:space="0" w:color="auto"/>
            </w:tcBorders>
            <w:shd w:val="clear" w:color="auto" w:fill="auto"/>
            <w:noWrap/>
            <w:vAlign w:val="center"/>
            <w:hideMark/>
          </w:tcPr>
          <w:p w14:paraId="616C38A1"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Valledupar - Cesar</w:t>
            </w:r>
          </w:p>
        </w:tc>
        <w:tc>
          <w:tcPr>
            <w:tcW w:w="456" w:type="pct"/>
            <w:tcBorders>
              <w:bottom w:val="single" w:sz="4" w:space="0" w:color="auto"/>
            </w:tcBorders>
            <w:shd w:val="clear" w:color="auto" w:fill="auto"/>
            <w:noWrap/>
            <w:vAlign w:val="center"/>
            <w:hideMark/>
          </w:tcPr>
          <w:p w14:paraId="0FC56477"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ERP 8T1</w:t>
            </w:r>
          </w:p>
        </w:tc>
        <w:tc>
          <w:tcPr>
            <w:tcW w:w="532" w:type="pct"/>
            <w:tcBorders>
              <w:bottom w:val="single" w:sz="4" w:space="0" w:color="auto"/>
            </w:tcBorders>
            <w:shd w:val="clear" w:color="auto" w:fill="auto"/>
            <w:noWrap/>
            <w:vAlign w:val="center"/>
            <w:hideMark/>
          </w:tcPr>
          <w:p w14:paraId="22ABD2E5" w14:textId="77777777" w:rsidR="00911ACE" w:rsidRPr="008D0D1A" w:rsidRDefault="00911ACE" w:rsidP="00911ACE">
            <w:pPr>
              <w:jc w:val="right"/>
              <w:rPr>
                <w:color w:val="000000"/>
                <w:sz w:val="13"/>
                <w:szCs w:val="13"/>
                <w:lang w:val="es-CO" w:eastAsia="es-CO"/>
              </w:rPr>
            </w:pPr>
            <w:r w:rsidRPr="008D0D1A">
              <w:rPr>
                <w:color w:val="000000"/>
                <w:sz w:val="13"/>
                <w:szCs w:val="13"/>
                <w:lang w:val="es-CO" w:eastAsia="es-CO"/>
              </w:rPr>
              <w:t>174.455.858</w:t>
            </w:r>
          </w:p>
        </w:tc>
        <w:tc>
          <w:tcPr>
            <w:tcW w:w="530" w:type="pct"/>
            <w:tcBorders>
              <w:bottom w:val="single" w:sz="4" w:space="0" w:color="auto"/>
            </w:tcBorders>
            <w:shd w:val="clear" w:color="auto" w:fill="auto"/>
            <w:noWrap/>
            <w:vAlign w:val="center"/>
            <w:hideMark/>
          </w:tcPr>
          <w:p w14:paraId="34C64E5E" w14:textId="77777777" w:rsidR="00911ACE" w:rsidRPr="008D0D1A" w:rsidRDefault="00911ACE" w:rsidP="00911ACE">
            <w:pPr>
              <w:jc w:val="left"/>
              <w:rPr>
                <w:color w:val="000000"/>
                <w:sz w:val="13"/>
                <w:szCs w:val="13"/>
                <w:lang w:val="es-CO" w:eastAsia="es-CO"/>
              </w:rPr>
            </w:pPr>
            <w:r w:rsidRPr="008D0D1A">
              <w:rPr>
                <w:color w:val="000000"/>
                <w:sz w:val="13"/>
                <w:szCs w:val="13"/>
                <w:lang w:val="es-CO" w:eastAsia="es-CO"/>
              </w:rPr>
              <w:t>Primaria</w:t>
            </w:r>
          </w:p>
        </w:tc>
        <w:tc>
          <w:tcPr>
            <w:tcW w:w="379" w:type="pct"/>
            <w:shd w:val="clear" w:color="auto" w:fill="auto"/>
            <w:noWrap/>
            <w:vAlign w:val="center"/>
            <w:hideMark/>
          </w:tcPr>
          <w:p w14:paraId="36B94850"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1,00</w:t>
            </w:r>
          </w:p>
        </w:tc>
        <w:tc>
          <w:tcPr>
            <w:tcW w:w="479" w:type="pct"/>
            <w:shd w:val="clear" w:color="auto" w:fill="auto"/>
            <w:noWrap/>
            <w:vAlign w:val="center"/>
            <w:hideMark/>
          </w:tcPr>
          <w:p w14:paraId="7D17E892"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174,46</w:t>
            </w:r>
          </w:p>
        </w:tc>
        <w:tc>
          <w:tcPr>
            <w:tcW w:w="431" w:type="pct"/>
            <w:shd w:val="clear" w:color="auto" w:fill="auto"/>
            <w:noWrap/>
            <w:vAlign w:val="center"/>
          </w:tcPr>
          <w:p w14:paraId="19421C22" w14:textId="50DA34C3" w:rsidR="00911ACE" w:rsidRPr="008D0D1A" w:rsidRDefault="00911ACE" w:rsidP="002D5FA8">
            <w:pPr>
              <w:jc w:val="right"/>
              <w:rPr>
                <w:color w:val="000000"/>
                <w:sz w:val="13"/>
                <w:szCs w:val="13"/>
                <w:lang w:val="es-CO" w:eastAsia="es-CO"/>
              </w:rPr>
            </w:pPr>
            <w:r>
              <w:rPr>
                <w:color w:val="000000"/>
                <w:sz w:val="13"/>
                <w:szCs w:val="13"/>
                <w:lang w:val="es-CO" w:eastAsia="es-CO"/>
              </w:rPr>
              <w:t>3</w:t>
            </w:r>
          </w:p>
        </w:tc>
        <w:tc>
          <w:tcPr>
            <w:tcW w:w="455" w:type="pct"/>
            <w:tcBorders>
              <w:top w:val="nil"/>
              <w:left w:val="nil"/>
              <w:bottom w:val="single" w:sz="4" w:space="0" w:color="auto"/>
              <w:right w:val="single" w:sz="8" w:space="0" w:color="auto"/>
            </w:tcBorders>
            <w:shd w:val="clear" w:color="auto" w:fill="auto"/>
            <w:noWrap/>
            <w:vAlign w:val="center"/>
          </w:tcPr>
          <w:p w14:paraId="183DF7D4" w14:textId="56536911" w:rsidR="00911ACE" w:rsidRPr="008D0D1A" w:rsidRDefault="00911ACE" w:rsidP="002D5FA8">
            <w:pPr>
              <w:jc w:val="right"/>
              <w:rPr>
                <w:color w:val="000000"/>
                <w:sz w:val="13"/>
                <w:szCs w:val="13"/>
                <w:lang w:val="es-CO" w:eastAsia="es-CO"/>
              </w:rPr>
            </w:pPr>
            <w:r>
              <w:rPr>
                <w:color w:val="000000"/>
                <w:sz w:val="13"/>
                <w:szCs w:val="13"/>
              </w:rPr>
              <w:t xml:space="preserve">523,37 </w:t>
            </w:r>
          </w:p>
        </w:tc>
        <w:tc>
          <w:tcPr>
            <w:tcW w:w="378" w:type="pct"/>
            <w:tcBorders>
              <w:top w:val="nil"/>
              <w:left w:val="nil"/>
              <w:bottom w:val="single" w:sz="4" w:space="0" w:color="auto"/>
              <w:right w:val="single" w:sz="8" w:space="0" w:color="auto"/>
            </w:tcBorders>
            <w:shd w:val="clear" w:color="auto" w:fill="auto"/>
            <w:noWrap/>
            <w:vAlign w:val="center"/>
          </w:tcPr>
          <w:p w14:paraId="1C5951B1" w14:textId="5163EFFD" w:rsidR="00911ACE" w:rsidRPr="008D0D1A" w:rsidRDefault="00911ACE" w:rsidP="002D5FA8">
            <w:pPr>
              <w:jc w:val="right"/>
              <w:rPr>
                <w:color w:val="000000"/>
                <w:sz w:val="13"/>
                <w:szCs w:val="13"/>
                <w:lang w:val="es-CO" w:eastAsia="es-CO"/>
              </w:rPr>
            </w:pPr>
            <w:r>
              <w:rPr>
                <w:color w:val="000000"/>
                <w:sz w:val="13"/>
                <w:szCs w:val="13"/>
              </w:rPr>
              <w:t xml:space="preserve">-2,00 </w:t>
            </w:r>
          </w:p>
        </w:tc>
        <w:tc>
          <w:tcPr>
            <w:tcW w:w="453" w:type="pct"/>
            <w:tcBorders>
              <w:top w:val="nil"/>
              <w:left w:val="nil"/>
              <w:bottom w:val="single" w:sz="4" w:space="0" w:color="auto"/>
              <w:right w:val="single" w:sz="8" w:space="0" w:color="auto"/>
            </w:tcBorders>
            <w:shd w:val="clear" w:color="auto" w:fill="auto"/>
            <w:noWrap/>
            <w:vAlign w:val="center"/>
          </w:tcPr>
          <w:p w14:paraId="299FA654" w14:textId="3CACF236" w:rsidR="00911ACE" w:rsidRPr="008D0D1A" w:rsidRDefault="00911ACE" w:rsidP="002D5FA8">
            <w:pPr>
              <w:jc w:val="right"/>
              <w:rPr>
                <w:color w:val="000000"/>
                <w:sz w:val="13"/>
                <w:szCs w:val="13"/>
                <w:lang w:val="es-CO" w:eastAsia="es-CO"/>
              </w:rPr>
            </w:pPr>
            <w:r>
              <w:rPr>
                <w:color w:val="000000"/>
                <w:sz w:val="13"/>
                <w:szCs w:val="13"/>
              </w:rPr>
              <w:t xml:space="preserve">-348,91 </w:t>
            </w:r>
          </w:p>
        </w:tc>
      </w:tr>
      <w:tr w:rsidR="00911ACE" w:rsidRPr="00911ACE" w14:paraId="73F837CD" w14:textId="77777777" w:rsidTr="002D5FA8">
        <w:trPr>
          <w:trHeight w:val="227"/>
        </w:trPr>
        <w:tc>
          <w:tcPr>
            <w:tcW w:w="907" w:type="pct"/>
            <w:tcBorders>
              <w:top w:val="single" w:sz="4" w:space="0" w:color="auto"/>
              <w:left w:val="nil"/>
              <w:bottom w:val="nil"/>
              <w:right w:val="nil"/>
            </w:tcBorders>
            <w:shd w:val="clear" w:color="auto" w:fill="auto"/>
            <w:noWrap/>
            <w:vAlign w:val="bottom"/>
            <w:hideMark/>
          </w:tcPr>
          <w:p w14:paraId="1E21EEC7" w14:textId="77777777" w:rsidR="00911ACE" w:rsidRPr="008D0D1A" w:rsidRDefault="00911ACE" w:rsidP="00911ACE">
            <w:pPr>
              <w:jc w:val="left"/>
              <w:rPr>
                <w:color w:val="000000"/>
                <w:sz w:val="13"/>
                <w:szCs w:val="13"/>
                <w:lang w:val="es-CO" w:eastAsia="es-CO"/>
              </w:rPr>
            </w:pPr>
          </w:p>
        </w:tc>
        <w:tc>
          <w:tcPr>
            <w:tcW w:w="456" w:type="pct"/>
            <w:tcBorders>
              <w:top w:val="single" w:sz="4" w:space="0" w:color="auto"/>
              <w:left w:val="nil"/>
              <w:bottom w:val="nil"/>
              <w:right w:val="nil"/>
            </w:tcBorders>
            <w:shd w:val="clear" w:color="auto" w:fill="auto"/>
            <w:noWrap/>
            <w:vAlign w:val="bottom"/>
            <w:hideMark/>
          </w:tcPr>
          <w:p w14:paraId="16D21459" w14:textId="77777777" w:rsidR="00911ACE" w:rsidRPr="008D0D1A" w:rsidRDefault="00911ACE" w:rsidP="00911ACE">
            <w:pPr>
              <w:jc w:val="left"/>
              <w:rPr>
                <w:sz w:val="13"/>
                <w:szCs w:val="13"/>
                <w:lang w:val="es-CO" w:eastAsia="es-CO"/>
              </w:rPr>
            </w:pPr>
          </w:p>
        </w:tc>
        <w:tc>
          <w:tcPr>
            <w:tcW w:w="532" w:type="pct"/>
            <w:tcBorders>
              <w:top w:val="single" w:sz="4" w:space="0" w:color="auto"/>
              <w:left w:val="nil"/>
              <w:bottom w:val="nil"/>
              <w:right w:val="single" w:sz="4" w:space="0" w:color="auto"/>
            </w:tcBorders>
            <w:shd w:val="clear" w:color="auto" w:fill="auto"/>
            <w:noWrap/>
            <w:vAlign w:val="bottom"/>
            <w:hideMark/>
          </w:tcPr>
          <w:p w14:paraId="14635BD3" w14:textId="77777777" w:rsidR="00911ACE" w:rsidRPr="008D0D1A" w:rsidRDefault="00911ACE" w:rsidP="00911ACE">
            <w:pPr>
              <w:jc w:val="left"/>
              <w:rPr>
                <w:sz w:val="13"/>
                <w:szCs w:val="13"/>
                <w:lang w:val="es-CO" w:eastAsia="es-CO"/>
              </w:rPr>
            </w:pPr>
          </w:p>
        </w:tc>
        <w:tc>
          <w:tcPr>
            <w:tcW w:w="530" w:type="pct"/>
            <w:tcBorders>
              <w:left w:val="single" w:sz="4" w:space="0" w:color="auto"/>
            </w:tcBorders>
            <w:shd w:val="clear" w:color="auto" w:fill="D9D9D9" w:themeFill="background1" w:themeFillShade="D9"/>
            <w:noWrap/>
            <w:vAlign w:val="center"/>
            <w:hideMark/>
          </w:tcPr>
          <w:p w14:paraId="42C657B0" w14:textId="77777777" w:rsidR="00911ACE" w:rsidRPr="008D0D1A" w:rsidRDefault="00911ACE" w:rsidP="002D5FA8">
            <w:pPr>
              <w:jc w:val="left"/>
              <w:rPr>
                <w:color w:val="000000"/>
                <w:sz w:val="13"/>
                <w:szCs w:val="13"/>
                <w:lang w:val="es-CO" w:eastAsia="es-CO"/>
              </w:rPr>
            </w:pPr>
            <w:r w:rsidRPr="008D0D1A">
              <w:rPr>
                <w:b/>
                <w:color w:val="000000"/>
                <w:sz w:val="13"/>
                <w:szCs w:val="13"/>
                <w:lang w:val="es-CO" w:eastAsia="es-CO"/>
              </w:rPr>
              <w:t>TOTAL</w:t>
            </w:r>
          </w:p>
        </w:tc>
        <w:tc>
          <w:tcPr>
            <w:tcW w:w="379" w:type="pct"/>
            <w:shd w:val="clear" w:color="auto" w:fill="auto"/>
            <w:noWrap/>
            <w:vAlign w:val="center"/>
            <w:hideMark/>
          </w:tcPr>
          <w:p w14:paraId="4E1ED0F4"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358,05</w:t>
            </w:r>
          </w:p>
        </w:tc>
        <w:tc>
          <w:tcPr>
            <w:tcW w:w="479" w:type="pct"/>
            <w:shd w:val="clear" w:color="auto" w:fill="auto"/>
            <w:noWrap/>
            <w:vAlign w:val="center"/>
            <w:hideMark/>
          </w:tcPr>
          <w:p w14:paraId="0F430E90" w14:textId="77777777" w:rsidR="00911ACE" w:rsidRPr="008D0D1A" w:rsidRDefault="00911ACE" w:rsidP="002D5FA8">
            <w:pPr>
              <w:jc w:val="right"/>
              <w:rPr>
                <w:color w:val="000000"/>
                <w:sz w:val="13"/>
                <w:szCs w:val="13"/>
                <w:lang w:val="es-CO" w:eastAsia="es-CO"/>
              </w:rPr>
            </w:pPr>
            <w:r w:rsidRPr="008D0D1A">
              <w:rPr>
                <w:color w:val="000000"/>
                <w:sz w:val="13"/>
                <w:szCs w:val="13"/>
                <w:lang w:val="es-CO" w:eastAsia="es-CO"/>
              </w:rPr>
              <w:t>16.735,04</w:t>
            </w:r>
          </w:p>
        </w:tc>
        <w:tc>
          <w:tcPr>
            <w:tcW w:w="431" w:type="pct"/>
            <w:shd w:val="clear" w:color="auto" w:fill="auto"/>
            <w:noWrap/>
            <w:vAlign w:val="center"/>
          </w:tcPr>
          <w:p w14:paraId="1A926FB3" w14:textId="24567473" w:rsidR="00911ACE" w:rsidRPr="008D0D1A" w:rsidRDefault="00911ACE" w:rsidP="002D5FA8">
            <w:pPr>
              <w:jc w:val="right"/>
              <w:rPr>
                <w:color w:val="000000"/>
                <w:sz w:val="13"/>
                <w:szCs w:val="13"/>
                <w:lang w:val="es-CO" w:eastAsia="es-CO"/>
              </w:rPr>
            </w:pPr>
            <w:r>
              <w:rPr>
                <w:color w:val="000000"/>
                <w:sz w:val="13"/>
                <w:szCs w:val="13"/>
                <w:lang w:val="es-CO" w:eastAsia="es-CO"/>
              </w:rPr>
              <w:t>1.111,36</w:t>
            </w:r>
          </w:p>
        </w:tc>
        <w:tc>
          <w:tcPr>
            <w:tcW w:w="455" w:type="pct"/>
            <w:tcBorders>
              <w:top w:val="single" w:sz="4" w:space="0" w:color="auto"/>
              <w:left w:val="nil"/>
              <w:bottom w:val="single" w:sz="4" w:space="0" w:color="auto"/>
              <w:right w:val="single" w:sz="4" w:space="0" w:color="auto"/>
            </w:tcBorders>
            <w:shd w:val="clear" w:color="auto" w:fill="auto"/>
            <w:noWrap/>
            <w:vAlign w:val="center"/>
          </w:tcPr>
          <w:p w14:paraId="7ED3E124" w14:textId="020D1CFE" w:rsidR="00911ACE" w:rsidRPr="00911ACE" w:rsidRDefault="00911ACE" w:rsidP="002D5FA8">
            <w:pPr>
              <w:jc w:val="right"/>
              <w:rPr>
                <w:color w:val="000000"/>
                <w:sz w:val="13"/>
                <w:szCs w:val="13"/>
              </w:rPr>
            </w:pPr>
            <w:r w:rsidRPr="00911ACE">
              <w:rPr>
                <w:color w:val="000000"/>
                <w:sz w:val="13"/>
                <w:szCs w:val="13"/>
              </w:rPr>
              <w:t xml:space="preserve">37.670,59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712E59" w14:textId="25C52306" w:rsidR="00911ACE" w:rsidRPr="00911ACE" w:rsidRDefault="00911ACE" w:rsidP="002D5FA8">
            <w:pPr>
              <w:jc w:val="right"/>
              <w:rPr>
                <w:color w:val="000000"/>
                <w:sz w:val="13"/>
                <w:szCs w:val="13"/>
              </w:rPr>
            </w:pPr>
            <w:r w:rsidRPr="00911ACE">
              <w:rPr>
                <w:color w:val="000000"/>
                <w:sz w:val="13"/>
                <w:szCs w:val="13"/>
              </w:rPr>
              <w:t xml:space="preserve">-753,31 </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BC103" w14:textId="3D48C160" w:rsidR="00911ACE" w:rsidRPr="00911ACE" w:rsidRDefault="00911ACE" w:rsidP="002D5FA8">
            <w:pPr>
              <w:jc w:val="right"/>
              <w:rPr>
                <w:color w:val="000000"/>
                <w:sz w:val="13"/>
                <w:szCs w:val="13"/>
              </w:rPr>
            </w:pPr>
            <w:r>
              <w:rPr>
                <w:color w:val="000000"/>
                <w:sz w:val="13"/>
                <w:szCs w:val="13"/>
              </w:rPr>
              <w:t>-</w:t>
            </w:r>
            <w:r w:rsidRPr="00911ACE">
              <w:rPr>
                <w:color w:val="000000"/>
                <w:sz w:val="13"/>
                <w:szCs w:val="13"/>
              </w:rPr>
              <w:t xml:space="preserve">20.935,54 </w:t>
            </w:r>
          </w:p>
        </w:tc>
      </w:tr>
    </w:tbl>
    <w:p w14:paraId="17B6FB98" w14:textId="1CDE6246" w:rsidR="007632B6" w:rsidRDefault="004B4F0B" w:rsidP="0032167A">
      <w:pPr>
        <w:spacing w:before="240" w:after="240"/>
        <w:rPr>
          <w:lang w:val="es-ES_tradnl"/>
        </w:rPr>
      </w:pPr>
      <w:r>
        <w:rPr>
          <w:lang w:val="es-ES_tradnl"/>
        </w:rPr>
        <w:t xml:space="preserve">Se evidencia que existen diferencias en ocho (8) de las diez (10) unidades </w:t>
      </w:r>
      <w:r w:rsidRPr="00BE7331">
        <w:rPr>
          <w:lang w:val="es-ES_tradnl"/>
        </w:rPr>
        <w:t>constructivas reportadas por GASES DEL CARI</w:t>
      </w:r>
      <w:r w:rsidR="00097852" w:rsidRPr="00BE7331">
        <w:rPr>
          <w:lang w:val="es-ES_tradnl"/>
        </w:rPr>
        <w:t>B</w:t>
      </w:r>
      <w:r w:rsidR="00CA2685">
        <w:rPr>
          <w:lang w:val="es-ES_tradnl"/>
        </w:rPr>
        <w:t>E</w:t>
      </w:r>
      <w:r w:rsidR="000D47C8">
        <w:rPr>
          <w:lang w:val="es-ES_tradnl"/>
        </w:rPr>
        <w:t xml:space="preserve"> S.A. E.S.P.</w:t>
      </w:r>
      <w:r w:rsidRPr="00BE7331">
        <w:rPr>
          <w:vanish/>
          <w:lang w:val="es-ES_tradnl"/>
        </w:rPr>
        <w:t>E</w:t>
      </w:r>
      <w:r w:rsidR="00097852" w:rsidRPr="00BE7331">
        <w:rPr>
          <w:vanish/>
          <w:lang w:val="es-ES_tradnl"/>
        </w:rPr>
        <w:t xml:space="preserve"> </w:t>
      </w:r>
      <w:r w:rsidRPr="00BE7331">
        <w:rPr>
          <w:vanish/>
          <w:lang w:val="es-ES_tradnl"/>
        </w:rPr>
        <w:t>S</w:t>
      </w:r>
      <w:r w:rsidR="00097852" w:rsidRPr="00BE7331">
        <w:rPr>
          <w:vanish/>
          <w:lang w:val="es-ES_tradnl"/>
        </w:rPr>
        <w:t>.A E.S</w:t>
      </w:r>
      <w:r w:rsidRPr="00BE7331">
        <w:rPr>
          <w:vanish/>
          <w:lang w:val="es-ES_tradnl"/>
        </w:rPr>
        <w:t>.P.</w:t>
      </w:r>
      <w:r w:rsidR="0072229C" w:rsidRPr="00BE7331">
        <w:rPr>
          <w:vanish/>
          <w:lang w:val="es-ES_tradnl"/>
        </w:rPr>
        <w:t xml:space="preserve"> El costo de dichas unidades asciende a $20.935,54 millones (pesos de diciembre de 2014) y no a $23.610,99 millones (pesos de diciembre de 2014) como lo manifiesta la empresa.</w:t>
      </w:r>
    </w:p>
    <w:p w14:paraId="126EBB43" w14:textId="76652A94" w:rsidR="002C21C4" w:rsidRDefault="002C21C4" w:rsidP="00210ED1">
      <w:pPr>
        <w:spacing w:before="240" w:after="240"/>
        <w:rPr>
          <w:lang w:val="es-ES_tradnl"/>
        </w:rPr>
      </w:pPr>
      <w:r w:rsidRPr="00210ED1">
        <w:rPr>
          <w:lang w:val="es-ES_tradnl"/>
        </w:rPr>
        <w:t xml:space="preserve">Teniendo en cuenta que para el cálculo del cargo aprobado mediante la Resolución CREG 198 de 2017 no se consideraron $20.935,54 millones correspondientes a Inversiones Existentes y eso conlleva a que no se remuneren </w:t>
      </w:r>
      <w:r w:rsidRPr="00210ED1">
        <w:rPr>
          <w:lang w:val="es-ES_tradnl"/>
        </w:rPr>
        <w:lastRenderedPageBreak/>
        <w:t>en su totalidad las inversiones del mercado, se considera necesario calcular nuevamente el cargo transitorio de distribución</w:t>
      </w:r>
      <w:r w:rsidRPr="00210ED1" w:rsidDel="00C20E81">
        <w:rPr>
          <w:lang w:val="es-ES_tradnl"/>
        </w:rPr>
        <w:t xml:space="preserve"> </w:t>
      </w:r>
      <w:r w:rsidRPr="00210ED1">
        <w:rPr>
          <w:lang w:val="es-ES_tradnl"/>
        </w:rPr>
        <w:t xml:space="preserve">para usuarios de uso residencial y el cargo transitorio de distribución para usuarios diferentes a los de uso residencial para el mercado conformado por </w:t>
      </w:r>
      <w:r w:rsidR="00210ED1" w:rsidRPr="00210ED1">
        <w:rPr>
          <w:lang w:val="es-ES_tradnl"/>
        </w:rPr>
        <w:t xml:space="preserve">los municipios de Barranquilla, Soledad, Malambo, </w:t>
      </w:r>
      <w:proofErr w:type="spellStart"/>
      <w:r w:rsidR="00210ED1" w:rsidRPr="00210ED1">
        <w:rPr>
          <w:lang w:val="es-ES_tradnl"/>
        </w:rPr>
        <w:t>Baranoa</w:t>
      </w:r>
      <w:proofErr w:type="spellEnd"/>
      <w:r w:rsidR="00210ED1" w:rsidRPr="00210ED1">
        <w:rPr>
          <w:lang w:val="es-ES_tradnl"/>
        </w:rPr>
        <w:t xml:space="preserve">, </w:t>
      </w:r>
      <w:proofErr w:type="spellStart"/>
      <w:r w:rsidR="00210ED1" w:rsidRPr="00210ED1">
        <w:rPr>
          <w:lang w:val="es-ES_tradnl"/>
        </w:rPr>
        <w:t>Galapa</w:t>
      </w:r>
      <w:proofErr w:type="spellEnd"/>
      <w:r w:rsidR="00210ED1" w:rsidRPr="00210ED1">
        <w:rPr>
          <w:lang w:val="es-ES_tradnl"/>
        </w:rPr>
        <w:t xml:space="preserve">, Puerto Colombia, </w:t>
      </w:r>
      <w:proofErr w:type="spellStart"/>
      <w:r w:rsidR="00210ED1" w:rsidRPr="00210ED1">
        <w:rPr>
          <w:lang w:val="es-ES_tradnl"/>
        </w:rPr>
        <w:t>Sabanagrande</w:t>
      </w:r>
      <w:proofErr w:type="spellEnd"/>
      <w:r w:rsidR="00210ED1" w:rsidRPr="00210ED1">
        <w:rPr>
          <w:lang w:val="es-ES_tradnl"/>
        </w:rPr>
        <w:t xml:space="preserve">, </w:t>
      </w:r>
      <w:proofErr w:type="spellStart"/>
      <w:r w:rsidR="00210ED1" w:rsidRPr="00210ED1">
        <w:rPr>
          <w:lang w:val="es-ES_tradnl"/>
        </w:rPr>
        <w:t>Luruaco</w:t>
      </w:r>
      <w:proofErr w:type="spellEnd"/>
      <w:r w:rsidR="00210ED1" w:rsidRPr="00210ED1">
        <w:rPr>
          <w:lang w:val="es-ES_tradnl"/>
        </w:rPr>
        <w:t xml:space="preserve">, Palmar de Varela, </w:t>
      </w:r>
      <w:proofErr w:type="spellStart"/>
      <w:r w:rsidR="00210ED1" w:rsidRPr="00210ED1">
        <w:rPr>
          <w:lang w:val="es-ES_tradnl"/>
        </w:rPr>
        <w:t>Polonuevo</w:t>
      </w:r>
      <w:proofErr w:type="spellEnd"/>
      <w:r w:rsidR="00210ED1" w:rsidRPr="00210ED1">
        <w:rPr>
          <w:lang w:val="es-ES_tradnl"/>
        </w:rPr>
        <w:t xml:space="preserve">, Ponedera, Sabanalarga, Santo Tomás, Candelaria, Juan de Acosta, Campo de la Cruz, Santa Lucía, </w:t>
      </w:r>
      <w:proofErr w:type="spellStart"/>
      <w:r w:rsidR="00210ED1" w:rsidRPr="00210ED1">
        <w:rPr>
          <w:lang w:val="es-ES_tradnl"/>
        </w:rPr>
        <w:t>Usiacurí</w:t>
      </w:r>
      <w:proofErr w:type="spellEnd"/>
      <w:r w:rsidR="00210ED1" w:rsidRPr="00210ED1">
        <w:rPr>
          <w:lang w:val="es-ES_tradnl"/>
        </w:rPr>
        <w:t xml:space="preserve">, Manatí, </w:t>
      </w:r>
      <w:proofErr w:type="spellStart"/>
      <w:r w:rsidR="00210ED1" w:rsidRPr="00210ED1">
        <w:rPr>
          <w:lang w:val="es-ES_tradnl"/>
        </w:rPr>
        <w:t>Suan</w:t>
      </w:r>
      <w:proofErr w:type="spellEnd"/>
      <w:r w:rsidR="00210ED1" w:rsidRPr="00210ED1">
        <w:rPr>
          <w:lang w:val="es-ES_tradnl"/>
        </w:rPr>
        <w:t xml:space="preserve">, Repelón, </w:t>
      </w:r>
      <w:proofErr w:type="spellStart"/>
      <w:r w:rsidR="00210ED1" w:rsidRPr="00210ED1">
        <w:rPr>
          <w:lang w:val="es-ES_tradnl"/>
        </w:rPr>
        <w:t>Tubará</w:t>
      </w:r>
      <w:proofErr w:type="spellEnd"/>
      <w:r w:rsidR="00210ED1" w:rsidRPr="00210ED1">
        <w:rPr>
          <w:lang w:val="es-ES_tradnl"/>
        </w:rPr>
        <w:t xml:space="preserve"> y </w:t>
      </w:r>
      <w:proofErr w:type="spellStart"/>
      <w:r w:rsidR="00210ED1" w:rsidRPr="00210ED1">
        <w:rPr>
          <w:lang w:val="es-ES_tradnl"/>
        </w:rPr>
        <w:t>Piojó</w:t>
      </w:r>
      <w:proofErr w:type="spellEnd"/>
      <w:r w:rsidR="00210ED1" w:rsidRPr="00210ED1">
        <w:rPr>
          <w:lang w:val="es-ES_tradnl"/>
        </w:rPr>
        <w:t xml:space="preserve"> en el departamento de Atlántico; Santa Marta, Ciénaga, Fundación, Aracataca, Zona Bananera, </w:t>
      </w:r>
      <w:proofErr w:type="spellStart"/>
      <w:r w:rsidR="00210ED1" w:rsidRPr="00210ED1">
        <w:rPr>
          <w:lang w:val="es-ES_tradnl"/>
        </w:rPr>
        <w:t>Puebloviejo</w:t>
      </w:r>
      <w:proofErr w:type="spellEnd"/>
      <w:r w:rsidR="00210ED1" w:rsidRPr="00210ED1">
        <w:rPr>
          <w:lang w:val="es-ES_tradnl"/>
        </w:rPr>
        <w:t xml:space="preserve">, </w:t>
      </w:r>
      <w:proofErr w:type="spellStart"/>
      <w:r w:rsidR="00210ED1" w:rsidRPr="00210ED1">
        <w:rPr>
          <w:lang w:val="es-ES_tradnl"/>
        </w:rPr>
        <w:t>Sitionuevo</w:t>
      </w:r>
      <w:proofErr w:type="spellEnd"/>
      <w:r w:rsidR="00210ED1" w:rsidRPr="00210ED1">
        <w:rPr>
          <w:lang w:val="es-ES_tradnl"/>
        </w:rPr>
        <w:t xml:space="preserve">, El Retén, Remolino, Salamina, El Piñón, Cerro de San Antonio, Tenerife, </w:t>
      </w:r>
      <w:proofErr w:type="spellStart"/>
      <w:r w:rsidR="00210ED1" w:rsidRPr="00210ED1">
        <w:rPr>
          <w:lang w:val="es-ES_tradnl"/>
        </w:rPr>
        <w:t>Zapayán</w:t>
      </w:r>
      <w:proofErr w:type="spellEnd"/>
      <w:r w:rsidR="00210ED1" w:rsidRPr="00210ED1">
        <w:rPr>
          <w:lang w:val="es-ES_tradnl"/>
        </w:rPr>
        <w:t>, Concordi</w:t>
      </w:r>
      <w:r w:rsidR="000D47C8">
        <w:rPr>
          <w:lang w:val="es-ES_tradnl"/>
        </w:rPr>
        <w:t>a</w:t>
      </w:r>
      <w:r w:rsidR="00210ED1" w:rsidRPr="00210ED1">
        <w:rPr>
          <w:lang w:val="es-ES_tradnl"/>
        </w:rPr>
        <w:t xml:space="preserve"> y Pedraza en el departamento de Magdalena; Valledupar, La Paz y Manaure en el departamento de Cesar; Calamar, San Estanislao, </w:t>
      </w:r>
      <w:proofErr w:type="spellStart"/>
      <w:r w:rsidR="00210ED1" w:rsidRPr="00210ED1">
        <w:rPr>
          <w:lang w:val="es-ES_tradnl"/>
        </w:rPr>
        <w:t>Soplaviento</w:t>
      </w:r>
      <w:proofErr w:type="spellEnd"/>
      <w:r w:rsidR="00210ED1" w:rsidRPr="00210ED1">
        <w:rPr>
          <w:lang w:val="es-ES_tradnl"/>
        </w:rPr>
        <w:t xml:space="preserve">, </w:t>
      </w:r>
      <w:proofErr w:type="spellStart"/>
      <w:r w:rsidR="00210ED1" w:rsidRPr="00210ED1">
        <w:rPr>
          <w:lang w:val="es-ES_tradnl"/>
        </w:rPr>
        <w:t>Arroyohondo</w:t>
      </w:r>
      <w:proofErr w:type="spellEnd"/>
      <w:r w:rsidR="00210ED1" w:rsidRPr="00210ED1">
        <w:rPr>
          <w:lang w:val="es-ES_tradnl"/>
        </w:rPr>
        <w:t xml:space="preserve"> y San Cristóbal en el departamento de Bolívar.</w:t>
      </w:r>
    </w:p>
    <w:p w14:paraId="78CB0629" w14:textId="77777777" w:rsidR="00B2346A" w:rsidRDefault="00B2346A" w:rsidP="00B2346A">
      <w:pPr>
        <w:pStyle w:val="Ttulo5"/>
        <w:tabs>
          <w:tab w:val="clear" w:pos="1080"/>
        </w:tabs>
        <w:ind w:left="709" w:hanging="709"/>
      </w:pPr>
      <w:r>
        <w:t>ASPECTOS ADICIONALES</w:t>
      </w:r>
    </w:p>
    <w:p w14:paraId="1FB84F0E" w14:textId="29C60894" w:rsidR="00B2346A" w:rsidRDefault="00B2346A" w:rsidP="00B2346A">
      <w:pPr>
        <w:rPr>
          <w:lang w:val="es-CO"/>
        </w:rPr>
      </w:pPr>
      <w:r>
        <w:rPr>
          <w:lang w:val="es-CO"/>
        </w:rPr>
        <w:t>Dada la condición de transitoriedad del cargo asignado mediante la Resolución CREG 198 de 2017, el presente cargo, previo el cumplimiento de los requisitos de publicidad y comunicación a las entidades correspondientes, debe regir tan pronto quede ejecutoriada la Resolución CREG 198 de 2017.</w:t>
      </w:r>
    </w:p>
    <w:p w14:paraId="7D765D66" w14:textId="4EFB477E" w:rsidR="00E764EF" w:rsidRPr="00210ED1" w:rsidRDefault="00E764EF" w:rsidP="00210ED1">
      <w:pPr>
        <w:spacing w:before="240" w:after="240"/>
        <w:rPr>
          <w:lang w:val="es-ES_tradnl"/>
        </w:rPr>
      </w:pPr>
      <w:r w:rsidRPr="00210ED1">
        <w:rPr>
          <w:lang w:val="es-ES_tradnl"/>
        </w:rPr>
        <w:t xml:space="preserve">La Comisión de Regulación de Energía y Gas en su sesión </w:t>
      </w:r>
      <w:r w:rsidR="00A82C4A">
        <w:rPr>
          <w:lang w:val="es-ES_tradnl"/>
        </w:rPr>
        <w:t>837</w:t>
      </w:r>
      <w:r w:rsidRPr="00210ED1">
        <w:rPr>
          <w:lang w:val="es-ES_tradnl"/>
        </w:rPr>
        <w:t xml:space="preserve"> del</w:t>
      </w:r>
      <w:r w:rsidR="00895D0D" w:rsidRPr="00210ED1">
        <w:rPr>
          <w:lang w:val="es-ES_tradnl"/>
        </w:rPr>
        <w:t xml:space="preserve"> </w:t>
      </w:r>
      <w:r w:rsidR="00A82C4A">
        <w:rPr>
          <w:lang w:val="es-ES_tradnl"/>
        </w:rPr>
        <w:t>2</w:t>
      </w:r>
      <w:r w:rsidR="00895D0D" w:rsidRPr="00210ED1">
        <w:rPr>
          <w:lang w:val="es-ES_tradnl"/>
        </w:rPr>
        <w:t xml:space="preserve"> </w:t>
      </w:r>
      <w:r w:rsidRPr="00210ED1">
        <w:rPr>
          <w:lang w:val="es-ES_tradnl"/>
        </w:rPr>
        <w:t xml:space="preserve">de </w:t>
      </w:r>
      <w:r w:rsidR="00A82C4A">
        <w:rPr>
          <w:lang w:val="es-ES_tradnl"/>
        </w:rPr>
        <w:t>febrero</w:t>
      </w:r>
      <w:r w:rsidR="00210ED1">
        <w:rPr>
          <w:lang w:val="es-ES_tradnl"/>
        </w:rPr>
        <w:t xml:space="preserve"> de 2018</w:t>
      </w:r>
      <w:r w:rsidR="001C5D81" w:rsidRPr="00210ED1">
        <w:rPr>
          <w:lang w:val="es-ES_tradnl"/>
        </w:rPr>
        <w:t>,</w:t>
      </w:r>
      <w:r w:rsidR="00370012" w:rsidRPr="00210ED1">
        <w:rPr>
          <w:lang w:val="es-ES_tradnl"/>
        </w:rPr>
        <w:t xml:space="preserve"> acordó expedir la presente resolución</w:t>
      </w:r>
      <w:r w:rsidRPr="00210ED1">
        <w:rPr>
          <w:lang w:val="es-ES_tradnl"/>
        </w:rPr>
        <w:t>.</w:t>
      </w:r>
    </w:p>
    <w:p w14:paraId="1FB64A4D" w14:textId="77777777" w:rsidR="00951328" w:rsidRDefault="00951328" w:rsidP="00951328">
      <w:pPr>
        <w:keepNext/>
        <w:suppressAutoHyphens/>
        <w:spacing w:before="480" w:after="480"/>
        <w:jc w:val="center"/>
        <w:rPr>
          <w:b/>
          <w:spacing w:val="-3"/>
        </w:rPr>
      </w:pPr>
      <w:r w:rsidRPr="00C435C3">
        <w:rPr>
          <w:b/>
          <w:spacing w:val="-3"/>
        </w:rPr>
        <w:t>R E S U E L V E:</w:t>
      </w:r>
    </w:p>
    <w:p w14:paraId="5255DCC3" w14:textId="160DC12F" w:rsidR="00CF3FD0" w:rsidRDefault="00CF3FD0" w:rsidP="004C0689">
      <w:pPr>
        <w:tabs>
          <w:tab w:val="left" w:pos="0"/>
          <w:tab w:val="left" w:pos="993"/>
        </w:tabs>
        <w:autoSpaceDE w:val="0"/>
        <w:autoSpaceDN w:val="0"/>
        <w:adjustRightInd w:val="0"/>
        <w:spacing w:before="240" w:after="240"/>
        <w:ind w:left="-142"/>
        <w:rPr>
          <w:rFonts w:cs="Arial"/>
        </w:rPr>
      </w:pPr>
      <w:r w:rsidRPr="00636742">
        <w:rPr>
          <w:rFonts w:eastAsia="Calibri" w:cs="Century Gothic"/>
          <w:b/>
          <w:lang w:eastAsia="es-CO"/>
        </w:rPr>
        <w:t xml:space="preserve">ARTÍCULO 1. </w:t>
      </w:r>
      <w:r>
        <w:rPr>
          <w:rFonts w:eastAsia="Calibri" w:cs="Century Gothic"/>
          <w:lang w:eastAsia="es-CO"/>
        </w:rPr>
        <w:t>Modificar el A</w:t>
      </w:r>
      <w:r w:rsidRPr="00636742">
        <w:rPr>
          <w:rFonts w:eastAsia="Calibri" w:cs="Century Gothic"/>
          <w:lang w:eastAsia="es-CO"/>
        </w:rPr>
        <w:t>rtículo</w:t>
      </w:r>
      <w:r>
        <w:rPr>
          <w:rFonts w:eastAsia="Calibri" w:cs="Century Gothic"/>
          <w:lang w:eastAsia="es-CO"/>
        </w:rPr>
        <w:t xml:space="preserve"> </w:t>
      </w:r>
      <w:r w:rsidR="004C0689">
        <w:rPr>
          <w:rFonts w:eastAsia="Calibri" w:cs="Century Gothic"/>
          <w:lang w:eastAsia="es-CO"/>
        </w:rPr>
        <w:t>3</w:t>
      </w:r>
      <w:r w:rsidRPr="00636742">
        <w:rPr>
          <w:rFonts w:eastAsia="Calibri" w:cs="Century Gothic"/>
          <w:lang w:eastAsia="es-CO"/>
        </w:rPr>
        <w:t xml:space="preserve"> “</w:t>
      </w:r>
      <w:r w:rsidR="004C0689">
        <w:rPr>
          <w:rFonts w:eastAsia="Calibri" w:cs="Century Gothic"/>
          <w:lang w:eastAsia="es-CO"/>
        </w:rPr>
        <w:t>Inversión Base</w:t>
      </w:r>
      <w:r w:rsidRPr="00636742">
        <w:rPr>
          <w:rFonts w:cs="Arial"/>
        </w:rPr>
        <w:t>” de la Re</w:t>
      </w:r>
      <w:r w:rsidR="004C0689">
        <w:rPr>
          <w:rFonts w:cs="Arial"/>
        </w:rPr>
        <w:t>solución CREG 198 de 2017</w:t>
      </w:r>
      <w:r>
        <w:rPr>
          <w:rFonts w:cs="Arial"/>
        </w:rPr>
        <w:t>, el cual quedará así:</w:t>
      </w:r>
    </w:p>
    <w:p w14:paraId="4C1B19DB" w14:textId="02E9489D" w:rsidR="0065757D" w:rsidRPr="0065757D" w:rsidRDefault="0065757D" w:rsidP="0065757D">
      <w:pPr>
        <w:adjustRightInd w:val="0"/>
        <w:spacing w:before="240" w:after="240"/>
        <w:ind w:left="284" w:right="284"/>
        <w:rPr>
          <w:rFonts w:cs="Arial"/>
          <w:b/>
          <w:i/>
          <w:sz w:val="22"/>
          <w:szCs w:val="22"/>
        </w:rPr>
      </w:pPr>
      <w:r w:rsidRPr="0065757D">
        <w:rPr>
          <w:rFonts w:cs="Arial"/>
          <w:b/>
          <w:i/>
          <w:sz w:val="22"/>
          <w:szCs w:val="22"/>
        </w:rPr>
        <w:t>“ARTÍCULO 3.</w:t>
      </w:r>
      <w:r w:rsidRPr="0065757D">
        <w:rPr>
          <w:rFonts w:cs="Arial"/>
          <w:i/>
          <w:sz w:val="22"/>
          <w:szCs w:val="22"/>
        </w:rPr>
        <w:t xml:space="preserve"> </w:t>
      </w:r>
      <w:r w:rsidRPr="0065757D">
        <w:rPr>
          <w:rFonts w:cs="Arial"/>
          <w:b/>
          <w:i/>
          <w:sz w:val="22"/>
          <w:szCs w:val="22"/>
        </w:rPr>
        <w:t xml:space="preserve">Inversión Base. </w:t>
      </w:r>
      <w:r w:rsidRPr="0065757D">
        <w:rPr>
          <w:rFonts w:cs="Arial"/>
          <w:i/>
          <w:sz w:val="22"/>
          <w:szCs w:val="22"/>
        </w:rPr>
        <w:t>La Inversión Base para determinar los cargos de distribución transitorios para el Mercado Relevante de Distribución definido en el artículo 1 de esta Resolución se compone como se indica a continuación:</w:t>
      </w:r>
    </w:p>
    <w:p w14:paraId="46BBC5DE" w14:textId="0FF581F9" w:rsidR="0065757D" w:rsidRPr="0065757D" w:rsidRDefault="0065757D" w:rsidP="0065757D">
      <w:pPr>
        <w:adjustRightInd w:val="0"/>
        <w:spacing w:before="240" w:after="240"/>
        <w:ind w:left="284" w:right="284"/>
        <w:rPr>
          <w:rFonts w:cs="Arial"/>
          <w:i/>
          <w:sz w:val="22"/>
          <w:szCs w:val="22"/>
        </w:rPr>
      </w:pPr>
      <w:r w:rsidRPr="0065757D">
        <w:rPr>
          <w:b/>
          <w:i/>
          <w:sz w:val="22"/>
          <w:szCs w:val="22"/>
          <w:lang w:val="es-ES_tradnl"/>
        </w:rPr>
        <w:t>3.1. Inversión Existente (IE):</w:t>
      </w:r>
      <w:r w:rsidRPr="0065757D">
        <w:rPr>
          <w:i/>
          <w:sz w:val="22"/>
          <w:szCs w:val="22"/>
          <w:lang w:val="es-ES_tradnl"/>
        </w:rPr>
        <w:t xml:space="preserve"> Inversión reconocida como existente en la última revisión tarifaria, </w:t>
      </w:r>
      <w:r w:rsidRPr="0065757D">
        <w:rPr>
          <w:rFonts w:cs="Arial"/>
          <w:i/>
          <w:sz w:val="22"/>
          <w:szCs w:val="22"/>
        </w:rPr>
        <w:t xml:space="preserve">corresponde a un valor </w:t>
      </w:r>
      <w:r w:rsidRPr="0065757D">
        <w:rPr>
          <w:i/>
          <w:sz w:val="22"/>
          <w:szCs w:val="22"/>
          <w:lang w:val="es-ES_tradnl"/>
        </w:rPr>
        <w:t>de $ 248.765.592.835 ($ 31</w:t>
      </w:r>
      <w:r w:rsidRPr="0065757D">
        <w:rPr>
          <w:rFonts w:cs="Arial"/>
          <w:i/>
          <w:sz w:val="22"/>
          <w:szCs w:val="22"/>
        </w:rPr>
        <w:t xml:space="preserve"> de diciembre de 2014) y su descripción se presenta en el documento CREG 112 que soporta la presente Resolución.</w:t>
      </w:r>
    </w:p>
    <w:p w14:paraId="2CA2B14A" w14:textId="77777777" w:rsidR="0065757D" w:rsidRPr="0065757D" w:rsidRDefault="0065757D" w:rsidP="0065757D">
      <w:pPr>
        <w:adjustRightInd w:val="0"/>
        <w:spacing w:before="240" w:after="240"/>
        <w:ind w:left="284" w:right="284"/>
        <w:rPr>
          <w:rFonts w:cs="Arial"/>
          <w:i/>
          <w:sz w:val="22"/>
          <w:szCs w:val="22"/>
        </w:rPr>
      </w:pPr>
      <w:r w:rsidRPr="0065757D">
        <w:rPr>
          <w:b/>
          <w:i/>
          <w:sz w:val="22"/>
          <w:szCs w:val="22"/>
          <w:lang w:val="es-ES_tradnl"/>
        </w:rPr>
        <w:t xml:space="preserve">3.2. Inversión Programada en nuevas inversiones que fue reconocida y ejecutada en la anterior revisión tarifaria (IPE): </w:t>
      </w:r>
      <w:r w:rsidRPr="0065757D">
        <w:rPr>
          <w:i/>
          <w:sz w:val="22"/>
          <w:szCs w:val="22"/>
          <w:lang w:val="es-ES_tradnl"/>
        </w:rPr>
        <w:t>Inversión en activos que fueron reportados en el programa de nuevas inversiones en la anterior solicitud tarifaria y que se ejecutaron hasta diciembre de 2014</w:t>
      </w:r>
      <w:r w:rsidRPr="0065757D">
        <w:rPr>
          <w:rFonts w:cs="Arial"/>
          <w:i/>
          <w:sz w:val="22"/>
          <w:szCs w:val="22"/>
        </w:rPr>
        <w:t xml:space="preserve"> corresponde a un valor de $28.775.819.730 ($ 31 de diciembre de 2014) y su descripción se presenta en el documento CREG 112 que soporta la presente Resolución.</w:t>
      </w:r>
    </w:p>
    <w:p w14:paraId="78781CFA" w14:textId="77777777" w:rsidR="0065757D" w:rsidRPr="0065757D" w:rsidRDefault="0065757D" w:rsidP="0065757D">
      <w:pPr>
        <w:tabs>
          <w:tab w:val="left" w:pos="0"/>
        </w:tabs>
        <w:spacing w:before="240" w:after="240"/>
        <w:ind w:left="284" w:right="284"/>
        <w:rPr>
          <w:rFonts w:cs="Arial"/>
          <w:i/>
          <w:sz w:val="22"/>
          <w:szCs w:val="22"/>
        </w:rPr>
      </w:pPr>
      <w:r w:rsidRPr="0065757D">
        <w:rPr>
          <w:rFonts w:cs="Arial"/>
          <w:b/>
          <w:i/>
          <w:sz w:val="22"/>
          <w:szCs w:val="22"/>
        </w:rPr>
        <w:t>3.3.</w:t>
      </w:r>
      <w:r w:rsidRPr="0065757D">
        <w:rPr>
          <w:b/>
          <w:i/>
          <w:sz w:val="22"/>
          <w:szCs w:val="22"/>
          <w:lang w:val="es-ES_tradnl"/>
        </w:rPr>
        <w:t xml:space="preserve"> Inversión Ejecutada durante el período tarifario y No Prevista en el Programa de Nuevas Inversiones (INPE): </w:t>
      </w:r>
      <w:r w:rsidRPr="0065757D">
        <w:rPr>
          <w:i/>
          <w:sz w:val="22"/>
          <w:szCs w:val="22"/>
          <w:lang w:val="es-ES_tradnl"/>
        </w:rPr>
        <w:t xml:space="preserve">Inversión en activos que fueron ejecutados hasta diciembre de 2014 y que no fueron reportados en el Programa de </w:t>
      </w:r>
      <w:r w:rsidRPr="0065757D">
        <w:rPr>
          <w:i/>
          <w:sz w:val="22"/>
          <w:szCs w:val="22"/>
          <w:lang w:val="es-ES_tradnl"/>
        </w:rPr>
        <w:lastRenderedPageBreak/>
        <w:t xml:space="preserve">Nuevas Inversiones, </w:t>
      </w:r>
      <w:r w:rsidRPr="0065757D">
        <w:rPr>
          <w:rFonts w:cs="Arial"/>
          <w:i/>
          <w:sz w:val="22"/>
          <w:szCs w:val="22"/>
        </w:rPr>
        <w:t>corresponde a un valor de $158.609.345.266 ($ 31 de diciembre de 2014) y su descripción se presenta en el documento CREG 112 que soporta la presente Resolución.</w:t>
      </w:r>
    </w:p>
    <w:p w14:paraId="32FC8C65" w14:textId="77777777" w:rsidR="0065757D" w:rsidRPr="0065757D" w:rsidRDefault="0065757D" w:rsidP="0065757D">
      <w:pPr>
        <w:adjustRightInd w:val="0"/>
        <w:spacing w:before="240" w:after="240"/>
        <w:ind w:left="284" w:right="284"/>
        <w:rPr>
          <w:rFonts w:cs="Arial"/>
          <w:i/>
          <w:sz w:val="22"/>
          <w:szCs w:val="22"/>
        </w:rPr>
      </w:pPr>
      <w:r w:rsidRPr="0065757D">
        <w:rPr>
          <w:rFonts w:cs="Arial"/>
          <w:b/>
          <w:i/>
          <w:sz w:val="22"/>
          <w:szCs w:val="22"/>
        </w:rPr>
        <w:t xml:space="preserve">3.4. Programa de Nuevas Inversiones para Municipios Nuevos (INPI). </w:t>
      </w:r>
      <w:r w:rsidRPr="0065757D">
        <w:rPr>
          <w:rFonts w:cs="Arial"/>
          <w:i/>
          <w:sz w:val="22"/>
          <w:szCs w:val="22"/>
        </w:rPr>
        <w:t>El Programa de Nuevas Inversiones corresponde a un valor de $0 ($ 31 de diciembre de 2014).</w:t>
      </w:r>
    </w:p>
    <w:p w14:paraId="1DA2D5FC" w14:textId="77777777" w:rsidR="0065757D" w:rsidRPr="0065757D" w:rsidRDefault="0065757D" w:rsidP="0065757D">
      <w:pPr>
        <w:adjustRightInd w:val="0"/>
        <w:spacing w:before="240" w:after="240"/>
        <w:ind w:left="284" w:right="284"/>
        <w:rPr>
          <w:b/>
          <w:i/>
          <w:sz w:val="22"/>
          <w:szCs w:val="22"/>
        </w:rPr>
      </w:pPr>
      <w:r w:rsidRPr="0065757D">
        <w:rPr>
          <w:rFonts w:cs="Arial"/>
          <w:b/>
          <w:i/>
          <w:sz w:val="22"/>
          <w:szCs w:val="22"/>
        </w:rPr>
        <w:t xml:space="preserve">3.5. Valoración de la Inversión Base. </w:t>
      </w:r>
      <w:r w:rsidRPr="0065757D">
        <w:rPr>
          <w:rFonts w:cs="Arial"/>
          <w:i/>
          <w:sz w:val="22"/>
          <w:szCs w:val="22"/>
        </w:rPr>
        <w:t>Aplicando la metodología contenida en la Resolución CREG 202 de 2013 y sus modificaciones y adiciones, se calcularon conforme a las formulas establecidas en los numerales 9.1.1.1. y 9.2.1.1. del artículo 9 para la componente que remunera la inversión base, aplicable a usuarios de uso residencial y a usuarios diferentes a los de uso residencial y se obtuvieron las siguientes variables principales:</w:t>
      </w:r>
    </w:p>
    <w:tbl>
      <w:tblPr>
        <w:tblW w:w="4701"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220"/>
        <w:gridCol w:w="2220"/>
        <w:gridCol w:w="2220"/>
      </w:tblGrid>
      <w:tr w:rsidR="00F86DB3" w:rsidRPr="0065757D" w14:paraId="64AAE75F" w14:textId="77777777" w:rsidTr="009D30F2">
        <w:tc>
          <w:tcPr>
            <w:tcW w:w="5000" w:type="pct"/>
            <w:gridSpan w:val="4"/>
            <w:shd w:val="clear" w:color="auto" w:fill="D9D9D9"/>
            <w:vAlign w:val="center"/>
          </w:tcPr>
          <w:p w14:paraId="0AF7EF7B" w14:textId="2047D287" w:rsidR="00F86DB3" w:rsidRPr="00F86DB3" w:rsidRDefault="00F86DB3" w:rsidP="00F86DB3">
            <w:pPr>
              <w:ind w:left="30" w:right="26"/>
              <w:jc w:val="center"/>
              <w:rPr>
                <w:rFonts w:asciiTheme="majorHAnsi" w:hAnsiTheme="majorHAnsi"/>
                <w:b/>
                <w:i/>
                <w:sz w:val="22"/>
                <w:szCs w:val="22"/>
              </w:rPr>
            </w:pPr>
            <w:r w:rsidRPr="0065757D">
              <w:rPr>
                <w:b/>
                <w:i/>
                <w:sz w:val="22"/>
                <w:szCs w:val="22"/>
              </w:rPr>
              <w:t>Usuarios de Uso Residencial</w:t>
            </w:r>
          </w:p>
        </w:tc>
      </w:tr>
      <w:tr w:rsidR="00F86DB3" w:rsidRPr="0065757D" w14:paraId="7AFD6817" w14:textId="77777777" w:rsidTr="009D30F2">
        <w:tc>
          <w:tcPr>
            <w:tcW w:w="1211" w:type="pct"/>
            <w:vMerge w:val="restart"/>
            <w:shd w:val="clear" w:color="auto" w:fill="D9D9D9"/>
            <w:vAlign w:val="center"/>
          </w:tcPr>
          <w:p w14:paraId="0B7B0F5E" w14:textId="77777777" w:rsidR="00F86DB3" w:rsidRPr="0065757D" w:rsidRDefault="00F86DB3" w:rsidP="00F86DB3">
            <w:pPr>
              <w:ind w:left="30" w:right="26"/>
              <w:jc w:val="center"/>
              <w:rPr>
                <w:b/>
                <w:i/>
                <w:sz w:val="22"/>
                <w:szCs w:val="22"/>
              </w:rPr>
            </w:pPr>
            <w:r w:rsidRPr="0065757D">
              <w:rPr>
                <w:b/>
                <w:i/>
                <w:sz w:val="22"/>
                <w:szCs w:val="22"/>
              </w:rPr>
              <w:t>Variable</w:t>
            </w:r>
          </w:p>
        </w:tc>
        <w:tc>
          <w:tcPr>
            <w:tcW w:w="3789" w:type="pct"/>
            <w:gridSpan w:val="3"/>
            <w:shd w:val="clear" w:color="auto" w:fill="D9D9D9"/>
            <w:vAlign w:val="center"/>
          </w:tcPr>
          <w:p w14:paraId="0B093330" w14:textId="4FFAFEC9" w:rsidR="00F86DB3" w:rsidRPr="0065757D" w:rsidRDefault="00F86DB3" w:rsidP="00F86DB3">
            <w:pPr>
              <w:ind w:left="30" w:right="26"/>
              <w:jc w:val="center"/>
              <w:rPr>
                <w:b/>
                <w:i/>
                <w:sz w:val="22"/>
                <w:szCs w:val="22"/>
              </w:rPr>
            </w:pPr>
            <w:r w:rsidRPr="0065757D">
              <w:rPr>
                <w:b/>
                <w:i/>
                <w:sz w:val="22"/>
                <w:szCs w:val="22"/>
              </w:rPr>
              <w:t>Valor ($31 Dic 2014)</w:t>
            </w:r>
          </w:p>
        </w:tc>
      </w:tr>
      <w:tr w:rsidR="00F86DB3" w:rsidRPr="0065757D" w14:paraId="2F31B0B0" w14:textId="77777777" w:rsidTr="009D30F2">
        <w:trPr>
          <w:trHeight w:val="119"/>
        </w:trPr>
        <w:tc>
          <w:tcPr>
            <w:tcW w:w="1211" w:type="pct"/>
            <w:vMerge/>
            <w:shd w:val="clear" w:color="auto" w:fill="D9D9D9"/>
            <w:vAlign w:val="center"/>
          </w:tcPr>
          <w:p w14:paraId="668F2846" w14:textId="77777777" w:rsidR="0065757D" w:rsidRPr="0065757D" w:rsidRDefault="0065757D" w:rsidP="00F86DB3">
            <w:pPr>
              <w:ind w:left="30" w:right="26"/>
              <w:jc w:val="center"/>
              <w:rPr>
                <w:i/>
                <w:sz w:val="22"/>
                <w:szCs w:val="22"/>
              </w:rPr>
            </w:pPr>
          </w:p>
        </w:tc>
        <w:tc>
          <w:tcPr>
            <w:tcW w:w="1263" w:type="pct"/>
            <w:shd w:val="clear" w:color="auto" w:fill="D9D9D9"/>
            <w:vAlign w:val="center"/>
          </w:tcPr>
          <w:p w14:paraId="1D08F141" w14:textId="77777777" w:rsidR="0065757D" w:rsidRPr="0065757D" w:rsidRDefault="0065757D" w:rsidP="00F86DB3">
            <w:pPr>
              <w:ind w:left="30" w:right="26"/>
              <w:jc w:val="center"/>
              <w:rPr>
                <w:b/>
                <w:i/>
                <w:sz w:val="22"/>
                <w:szCs w:val="22"/>
              </w:rPr>
            </w:pPr>
            <w:r w:rsidRPr="0065757D">
              <w:rPr>
                <w:b/>
                <w:i/>
                <w:sz w:val="22"/>
                <w:szCs w:val="22"/>
              </w:rPr>
              <w:t>2017</w:t>
            </w:r>
          </w:p>
        </w:tc>
        <w:tc>
          <w:tcPr>
            <w:tcW w:w="1263" w:type="pct"/>
            <w:shd w:val="clear" w:color="auto" w:fill="D9D9D9"/>
            <w:vAlign w:val="center"/>
          </w:tcPr>
          <w:p w14:paraId="7B1C0CB2" w14:textId="77777777" w:rsidR="0065757D" w:rsidRPr="0065757D" w:rsidRDefault="0065757D" w:rsidP="00F86DB3">
            <w:pPr>
              <w:ind w:left="30" w:right="26"/>
              <w:jc w:val="center"/>
              <w:rPr>
                <w:b/>
                <w:i/>
                <w:sz w:val="22"/>
                <w:szCs w:val="22"/>
              </w:rPr>
            </w:pPr>
            <w:r w:rsidRPr="0065757D">
              <w:rPr>
                <w:b/>
                <w:i/>
                <w:sz w:val="22"/>
                <w:szCs w:val="22"/>
              </w:rPr>
              <w:t>2018</w:t>
            </w:r>
          </w:p>
        </w:tc>
        <w:tc>
          <w:tcPr>
            <w:tcW w:w="1263" w:type="pct"/>
            <w:shd w:val="clear" w:color="auto" w:fill="D9D9D9"/>
            <w:vAlign w:val="center"/>
          </w:tcPr>
          <w:p w14:paraId="7E2010CE" w14:textId="77777777" w:rsidR="0065757D" w:rsidRPr="0065757D" w:rsidRDefault="0065757D" w:rsidP="00F86DB3">
            <w:pPr>
              <w:ind w:left="30" w:right="26"/>
              <w:jc w:val="center"/>
              <w:rPr>
                <w:b/>
                <w:i/>
                <w:sz w:val="22"/>
                <w:szCs w:val="22"/>
              </w:rPr>
            </w:pPr>
            <w:r w:rsidRPr="0065757D">
              <w:rPr>
                <w:b/>
                <w:i/>
                <w:sz w:val="22"/>
                <w:szCs w:val="22"/>
              </w:rPr>
              <w:t>2019 – 2020 - 2021</w:t>
            </w:r>
          </w:p>
        </w:tc>
      </w:tr>
      <w:tr w:rsidR="004059F0" w:rsidRPr="0065757D" w14:paraId="4D1CF093" w14:textId="77777777" w:rsidTr="009D30F2">
        <w:trPr>
          <w:trHeight w:val="378"/>
        </w:trPr>
        <w:tc>
          <w:tcPr>
            <w:tcW w:w="1211" w:type="pct"/>
            <w:shd w:val="clear" w:color="auto" w:fill="auto"/>
            <w:vAlign w:val="center"/>
          </w:tcPr>
          <w:p w14:paraId="20542189" w14:textId="470370B5" w:rsidR="004059F0" w:rsidRPr="0065757D" w:rsidRDefault="00D1380A" w:rsidP="004059F0">
            <w:pPr>
              <w:ind w:left="30" w:right="26"/>
              <w:rPr>
                <w:i/>
                <w:sz w:val="22"/>
                <w:szCs w:val="22"/>
              </w:rPr>
            </w:pPr>
            <m:oMathPara>
              <m:oMathParaPr>
                <m:jc m:val="left"/>
              </m:oMathParaPr>
              <m:oMath>
                <m:r>
                  <w:rPr>
                    <w:rFonts w:ascii="Cambria Math" w:hAnsi="Cambria Math"/>
                    <w:sz w:val="22"/>
                    <w:szCs w:val="22"/>
                  </w:rPr>
                  <m:t>IBM</m:t>
                </m:r>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RPk</m:t>
                    </m:r>
                  </m:sub>
                </m:sSub>
              </m:oMath>
            </m:oMathPara>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56975731" w14:textId="4F08D519" w:rsidR="004059F0" w:rsidRPr="00D1380A" w:rsidRDefault="004059F0" w:rsidP="004059F0">
            <w:pPr>
              <w:ind w:left="30" w:right="26"/>
              <w:jc w:val="center"/>
              <w:rPr>
                <w:i/>
                <w:sz w:val="22"/>
                <w:szCs w:val="22"/>
              </w:rPr>
            </w:pPr>
            <w:r w:rsidRPr="00D1380A">
              <w:rPr>
                <w:i/>
                <w:color w:val="000000"/>
                <w:sz w:val="22"/>
                <w:szCs w:val="22"/>
              </w:rPr>
              <w:t>35.702.351.475</w:t>
            </w:r>
          </w:p>
        </w:tc>
        <w:tc>
          <w:tcPr>
            <w:tcW w:w="1263" w:type="pct"/>
            <w:tcBorders>
              <w:top w:val="single" w:sz="4" w:space="0" w:color="auto"/>
              <w:left w:val="nil"/>
              <w:bottom w:val="single" w:sz="4" w:space="0" w:color="auto"/>
              <w:right w:val="single" w:sz="4" w:space="0" w:color="auto"/>
            </w:tcBorders>
            <w:shd w:val="clear" w:color="auto" w:fill="auto"/>
            <w:vAlign w:val="center"/>
          </w:tcPr>
          <w:p w14:paraId="06F8C527" w14:textId="0A496292" w:rsidR="004059F0" w:rsidRPr="00D1380A" w:rsidRDefault="004059F0" w:rsidP="004059F0">
            <w:pPr>
              <w:ind w:left="30" w:right="26"/>
              <w:jc w:val="center"/>
              <w:rPr>
                <w:i/>
                <w:sz w:val="22"/>
                <w:szCs w:val="22"/>
              </w:rPr>
            </w:pPr>
            <w:r w:rsidRPr="00D1380A">
              <w:rPr>
                <w:i/>
                <w:color w:val="000000"/>
                <w:sz w:val="22"/>
                <w:szCs w:val="22"/>
              </w:rPr>
              <w:t>36.239.404.806</w:t>
            </w:r>
          </w:p>
        </w:tc>
        <w:tc>
          <w:tcPr>
            <w:tcW w:w="1263" w:type="pct"/>
            <w:tcBorders>
              <w:top w:val="single" w:sz="4" w:space="0" w:color="auto"/>
              <w:left w:val="nil"/>
              <w:bottom w:val="single" w:sz="4" w:space="0" w:color="auto"/>
              <w:right w:val="single" w:sz="4" w:space="0" w:color="auto"/>
            </w:tcBorders>
            <w:shd w:val="clear" w:color="auto" w:fill="auto"/>
            <w:vAlign w:val="center"/>
          </w:tcPr>
          <w:p w14:paraId="10B00E30" w14:textId="7A329202" w:rsidR="004059F0" w:rsidRPr="00D1380A" w:rsidRDefault="004059F0" w:rsidP="004059F0">
            <w:pPr>
              <w:ind w:left="30" w:right="26"/>
              <w:jc w:val="center"/>
              <w:rPr>
                <w:i/>
                <w:sz w:val="22"/>
                <w:szCs w:val="22"/>
              </w:rPr>
            </w:pPr>
            <w:r w:rsidRPr="00D1380A">
              <w:rPr>
                <w:i/>
                <w:color w:val="000000"/>
                <w:sz w:val="22"/>
                <w:szCs w:val="22"/>
              </w:rPr>
              <w:t>32.650.660.950</w:t>
            </w:r>
          </w:p>
        </w:tc>
      </w:tr>
      <w:tr w:rsidR="004059F0" w:rsidRPr="0065757D" w14:paraId="7760069F" w14:textId="77777777" w:rsidTr="009D30F2">
        <w:trPr>
          <w:trHeight w:val="378"/>
        </w:trPr>
        <w:tc>
          <w:tcPr>
            <w:tcW w:w="1211" w:type="pct"/>
            <w:shd w:val="clear" w:color="auto" w:fill="auto"/>
            <w:vAlign w:val="center"/>
          </w:tcPr>
          <w:p w14:paraId="6A460686" w14:textId="58C2540D" w:rsidR="004059F0" w:rsidRPr="0065757D" w:rsidRDefault="00D1380A" w:rsidP="004059F0">
            <w:pPr>
              <w:ind w:left="30" w:right="26"/>
              <w:rPr>
                <w:i/>
                <w:sz w:val="22"/>
                <w:szCs w:val="22"/>
              </w:rPr>
            </w:pPr>
            <m:oMathPara>
              <m:oMathParaPr>
                <m:jc m:val="left"/>
              </m:oMathParaPr>
              <m:oMath>
                <m:r>
                  <w:rPr>
                    <w:rFonts w:ascii="Cambria Math" w:hAnsi="Cambria Math"/>
                    <w:sz w:val="22"/>
                    <w:szCs w:val="22"/>
                  </w:rPr>
                  <m:t>IBM</m:t>
                </m:r>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RSk</m:t>
                    </m:r>
                  </m:sub>
                </m:sSub>
              </m:oMath>
            </m:oMathPara>
          </w:p>
        </w:tc>
        <w:tc>
          <w:tcPr>
            <w:tcW w:w="1263" w:type="pct"/>
            <w:tcBorders>
              <w:top w:val="nil"/>
              <w:left w:val="single" w:sz="4" w:space="0" w:color="auto"/>
              <w:bottom w:val="single" w:sz="4" w:space="0" w:color="auto"/>
              <w:right w:val="single" w:sz="4" w:space="0" w:color="auto"/>
            </w:tcBorders>
            <w:shd w:val="clear" w:color="auto" w:fill="auto"/>
            <w:vAlign w:val="center"/>
          </w:tcPr>
          <w:p w14:paraId="1B753BB1" w14:textId="1A4802C4" w:rsidR="004059F0" w:rsidRPr="00D1380A" w:rsidRDefault="004059F0" w:rsidP="004059F0">
            <w:pPr>
              <w:ind w:left="30" w:right="26"/>
              <w:jc w:val="center"/>
              <w:rPr>
                <w:i/>
                <w:sz w:val="22"/>
                <w:szCs w:val="22"/>
              </w:rPr>
            </w:pPr>
            <w:r w:rsidRPr="00D1380A">
              <w:rPr>
                <w:i/>
                <w:color w:val="000000"/>
                <w:sz w:val="22"/>
                <w:szCs w:val="22"/>
              </w:rPr>
              <w:t>33.402.603.078</w:t>
            </w:r>
          </w:p>
        </w:tc>
        <w:tc>
          <w:tcPr>
            <w:tcW w:w="1263" w:type="pct"/>
            <w:tcBorders>
              <w:top w:val="nil"/>
              <w:left w:val="nil"/>
              <w:bottom w:val="single" w:sz="4" w:space="0" w:color="auto"/>
              <w:right w:val="single" w:sz="4" w:space="0" w:color="auto"/>
            </w:tcBorders>
            <w:shd w:val="clear" w:color="auto" w:fill="auto"/>
            <w:vAlign w:val="center"/>
          </w:tcPr>
          <w:p w14:paraId="7B7FB62F" w14:textId="01F9AE12" w:rsidR="004059F0" w:rsidRPr="00D1380A" w:rsidRDefault="004059F0" w:rsidP="004059F0">
            <w:pPr>
              <w:ind w:left="30" w:right="26"/>
              <w:jc w:val="center"/>
              <w:rPr>
                <w:i/>
                <w:sz w:val="22"/>
                <w:szCs w:val="22"/>
              </w:rPr>
            </w:pPr>
            <w:r w:rsidRPr="00D1380A">
              <w:rPr>
                <w:i/>
                <w:color w:val="000000"/>
                <w:sz w:val="22"/>
                <w:szCs w:val="22"/>
              </w:rPr>
              <w:t>33.905.062.398</w:t>
            </w:r>
          </w:p>
        </w:tc>
        <w:tc>
          <w:tcPr>
            <w:tcW w:w="1263" w:type="pct"/>
            <w:tcBorders>
              <w:top w:val="nil"/>
              <w:left w:val="nil"/>
              <w:bottom w:val="single" w:sz="4" w:space="0" w:color="auto"/>
              <w:right w:val="single" w:sz="4" w:space="0" w:color="auto"/>
            </w:tcBorders>
            <w:shd w:val="clear" w:color="auto" w:fill="auto"/>
            <w:vAlign w:val="center"/>
          </w:tcPr>
          <w:p w14:paraId="6D7D34D0" w14:textId="6BF30684" w:rsidR="004059F0" w:rsidRPr="00D1380A" w:rsidRDefault="004059F0" w:rsidP="004059F0">
            <w:pPr>
              <w:ind w:left="30" w:right="26"/>
              <w:jc w:val="center"/>
              <w:rPr>
                <w:i/>
                <w:sz w:val="22"/>
                <w:szCs w:val="22"/>
              </w:rPr>
            </w:pPr>
            <w:r w:rsidRPr="00D1380A">
              <w:rPr>
                <w:i/>
                <w:color w:val="000000"/>
                <w:sz w:val="22"/>
                <w:szCs w:val="22"/>
              </w:rPr>
              <w:t>30.547.485.611</w:t>
            </w:r>
          </w:p>
        </w:tc>
      </w:tr>
      <w:tr w:rsidR="004059F0" w:rsidRPr="0065757D" w14:paraId="7147C271" w14:textId="77777777" w:rsidTr="009D30F2">
        <w:trPr>
          <w:trHeight w:val="378"/>
        </w:trPr>
        <w:tc>
          <w:tcPr>
            <w:tcW w:w="1211" w:type="pct"/>
            <w:shd w:val="clear" w:color="auto" w:fill="auto"/>
            <w:vAlign w:val="center"/>
          </w:tcPr>
          <w:p w14:paraId="39EAF3BA" w14:textId="5CAC4DBB" w:rsidR="004059F0" w:rsidRPr="0065757D" w:rsidRDefault="00B11897" w:rsidP="004059F0">
            <w:pPr>
              <w:ind w:left="30" w:right="26"/>
              <w:rPr>
                <w: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Tk</m:t>
                    </m:r>
                  </m:sub>
                </m:sSub>
              </m:oMath>
            </m:oMathPara>
          </w:p>
        </w:tc>
        <w:tc>
          <w:tcPr>
            <w:tcW w:w="1263" w:type="pct"/>
            <w:tcBorders>
              <w:top w:val="nil"/>
              <w:left w:val="single" w:sz="4" w:space="0" w:color="auto"/>
              <w:bottom w:val="single" w:sz="4" w:space="0" w:color="auto"/>
              <w:right w:val="single" w:sz="4" w:space="0" w:color="auto"/>
            </w:tcBorders>
            <w:shd w:val="clear" w:color="auto" w:fill="auto"/>
            <w:vAlign w:val="center"/>
          </w:tcPr>
          <w:p w14:paraId="05950B0E" w14:textId="774B97EB" w:rsidR="004059F0" w:rsidRPr="00D1380A" w:rsidRDefault="004059F0" w:rsidP="004059F0">
            <w:pPr>
              <w:ind w:left="30" w:right="26"/>
              <w:jc w:val="center"/>
              <w:rPr>
                <w:i/>
                <w:sz w:val="22"/>
                <w:szCs w:val="22"/>
              </w:rPr>
            </w:pPr>
            <w:r w:rsidRPr="00D1380A">
              <w:rPr>
                <w:i/>
                <w:color w:val="000000"/>
                <w:sz w:val="22"/>
                <w:szCs w:val="22"/>
              </w:rPr>
              <w:t>562.910.459</w:t>
            </w:r>
          </w:p>
        </w:tc>
        <w:tc>
          <w:tcPr>
            <w:tcW w:w="1263" w:type="pct"/>
            <w:tcBorders>
              <w:top w:val="nil"/>
              <w:left w:val="nil"/>
              <w:bottom w:val="single" w:sz="4" w:space="0" w:color="auto"/>
              <w:right w:val="single" w:sz="4" w:space="0" w:color="auto"/>
            </w:tcBorders>
            <w:shd w:val="clear" w:color="auto" w:fill="auto"/>
            <w:vAlign w:val="center"/>
          </w:tcPr>
          <w:p w14:paraId="41D5BB74" w14:textId="4443D2FB" w:rsidR="004059F0" w:rsidRPr="00D1380A" w:rsidRDefault="004059F0" w:rsidP="004059F0">
            <w:pPr>
              <w:ind w:left="30" w:right="26"/>
              <w:jc w:val="center"/>
              <w:rPr>
                <w:i/>
                <w:sz w:val="22"/>
                <w:szCs w:val="22"/>
              </w:rPr>
            </w:pPr>
            <w:r w:rsidRPr="00D1380A">
              <w:rPr>
                <w:i/>
                <w:color w:val="000000"/>
                <w:sz w:val="22"/>
                <w:szCs w:val="22"/>
              </w:rPr>
              <w:t>562.910.459</w:t>
            </w:r>
          </w:p>
        </w:tc>
        <w:tc>
          <w:tcPr>
            <w:tcW w:w="1263" w:type="pct"/>
            <w:tcBorders>
              <w:top w:val="nil"/>
              <w:left w:val="nil"/>
              <w:bottom w:val="single" w:sz="4" w:space="0" w:color="auto"/>
              <w:right w:val="single" w:sz="4" w:space="0" w:color="auto"/>
            </w:tcBorders>
            <w:shd w:val="clear" w:color="auto" w:fill="auto"/>
            <w:vAlign w:val="center"/>
          </w:tcPr>
          <w:p w14:paraId="3F8520CA" w14:textId="547EE788" w:rsidR="004059F0" w:rsidRPr="00D1380A" w:rsidRDefault="004059F0" w:rsidP="004059F0">
            <w:pPr>
              <w:ind w:left="30" w:right="26"/>
              <w:jc w:val="center"/>
              <w:rPr>
                <w:i/>
                <w:sz w:val="22"/>
                <w:szCs w:val="22"/>
              </w:rPr>
            </w:pPr>
            <w:r w:rsidRPr="00D1380A">
              <w:rPr>
                <w:i/>
                <w:color w:val="000000"/>
                <w:sz w:val="22"/>
                <w:szCs w:val="22"/>
              </w:rPr>
              <w:t>562.910.459</w:t>
            </w:r>
          </w:p>
        </w:tc>
      </w:tr>
      <w:tr w:rsidR="004059F0" w:rsidRPr="0065757D" w14:paraId="0B6D6608" w14:textId="77777777" w:rsidTr="009D30F2">
        <w:trPr>
          <w:trHeight w:val="378"/>
        </w:trPr>
        <w:tc>
          <w:tcPr>
            <w:tcW w:w="1211" w:type="pct"/>
            <w:shd w:val="clear" w:color="auto" w:fill="auto"/>
            <w:vAlign w:val="center"/>
          </w:tcPr>
          <w:p w14:paraId="68FB59D1" w14:textId="028BE02D" w:rsidR="004059F0" w:rsidRPr="0065757D" w:rsidRDefault="00B11897" w:rsidP="004059F0">
            <w:pPr>
              <w:ind w:left="30" w:right="26"/>
              <w:rPr>
                <w: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NoResRSk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Resk</m:t>
                    </m:r>
                  </m:sub>
                </m:sSub>
              </m:oMath>
            </m:oMathPara>
          </w:p>
        </w:tc>
        <w:tc>
          <w:tcPr>
            <w:tcW w:w="1263" w:type="pct"/>
            <w:tcBorders>
              <w:top w:val="nil"/>
              <w:left w:val="single" w:sz="4" w:space="0" w:color="auto"/>
              <w:bottom w:val="single" w:sz="4" w:space="0" w:color="auto"/>
              <w:right w:val="single" w:sz="4" w:space="0" w:color="auto"/>
            </w:tcBorders>
            <w:shd w:val="clear" w:color="auto" w:fill="auto"/>
            <w:vAlign w:val="center"/>
          </w:tcPr>
          <w:p w14:paraId="0DB18F01" w14:textId="45ABD579" w:rsidR="004059F0" w:rsidRPr="00D1380A" w:rsidRDefault="004059F0" w:rsidP="004059F0">
            <w:pPr>
              <w:ind w:left="30" w:right="26"/>
              <w:jc w:val="center"/>
              <w:rPr>
                <w:i/>
                <w:sz w:val="22"/>
                <w:szCs w:val="22"/>
              </w:rPr>
            </w:pPr>
            <w:r w:rsidRPr="00D1380A">
              <w:rPr>
                <w:i/>
                <w:color w:val="000000"/>
                <w:sz w:val="22"/>
                <w:szCs w:val="22"/>
              </w:rPr>
              <w:t>224.952.504</w:t>
            </w:r>
          </w:p>
        </w:tc>
        <w:tc>
          <w:tcPr>
            <w:tcW w:w="1263" w:type="pct"/>
            <w:tcBorders>
              <w:top w:val="nil"/>
              <w:left w:val="nil"/>
              <w:bottom w:val="single" w:sz="4" w:space="0" w:color="auto"/>
              <w:right w:val="single" w:sz="4" w:space="0" w:color="auto"/>
            </w:tcBorders>
            <w:shd w:val="clear" w:color="auto" w:fill="auto"/>
            <w:vAlign w:val="center"/>
          </w:tcPr>
          <w:p w14:paraId="6FC7D84D" w14:textId="0A414B21" w:rsidR="004059F0" w:rsidRPr="00D1380A" w:rsidRDefault="004059F0" w:rsidP="004059F0">
            <w:pPr>
              <w:ind w:left="30" w:right="26"/>
              <w:jc w:val="center"/>
              <w:rPr>
                <w:i/>
                <w:sz w:val="22"/>
                <w:szCs w:val="22"/>
              </w:rPr>
            </w:pPr>
            <w:r w:rsidRPr="00D1380A">
              <w:rPr>
                <w:i/>
                <w:color w:val="000000"/>
                <w:sz w:val="22"/>
                <w:szCs w:val="22"/>
              </w:rPr>
              <w:t>224.952.504</w:t>
            </w:r>
          </w:p>
        </w:tc>
        <w:tc>
          <w:tcPr>
            <w:tcW w:w="1263" w:type="pct"/>
            <w:tcBorders>
              <w:top w:val="nil"/>
              <w:left w:val="nil"/>
              <w:bottom w:val="single" w:sz="4" w:space="0" w:color="auto"/>
              <w:right w:val="single" w:sz="4" w:space="0" w:color="auto"/>
            </w:tcBorders>
            <w:shd w:val="clear" w:color="auto" w:fill="auto"/>
            <w:vAlign w:val="center"/>
          </w:tcPr>
          <w:p w14:paraId="60C1F1FD" w14:textId="466072A0" w:rsidR="004059F0" w:rsidRPr="00D1380A" w:rsidRDefault="004059F0" w:rsidP="004059F0">
            <w:pPr>
              <w:ind w:left="30" w:right="26"/>
              <w:jc w:val="center"/>
              <w:rPr>
                <w:i/>
                <w:sz w:val="22"/>
                <w:szCs w:val="22"/>
              </w:rPr>
            </w:pPr>
            <w:r w:rsidRPr="00D1380A">
              <w:rPr>
                <w:i/>
                <w:color w:val="000000"/>
                <w:sz w:val="22"/>
                <w:szCs w:val="22"/>
              </w:rPr>
              <w:t>224.952.504</w:t>
            </w:r>
          </w:p>
        </w:tc>
      </w:tr>
    </w:tbl>
    <w:p w14:paraId="7EF002B1" w14:textId="77777777" w:rsidR="0065757D" w:rsidRPr="0065757D" w:rsidRDefault="0065757D" w:rsidP="0065757D">
      <w:pPr>
        <w:ind w:left="284" w:right="284"/>
        <w:rPr>
          <w:i/>
          <w:sz w:val="22"/>
          <w:szCs w:val="22"/>
        </w:rPr>
      </w:pPr>
    </w:p>
    <w:tbl>
      <w:tblPr>
        <w:tblW w:w="4701"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220"/>
        <w:gridCol w:w="2220"/>
        <w:gridCol w:w="2221"/>
      </w:tblGrid>
      <w:tr w:rsidR="00F86DB3" w:rsidRPr="0065757D" w14:paraId="2D4EC903" w14:textId="77777777" w:rsidTr="009D30F2">
        <w:trPr>
          <w:tblHeader/>
        </w:trPr>
        <w:tc>
          <w:tcPr>
            <w:tcW w:w="5000" w:type="pct"/>
            <w:gridSpan w:val="4"/>
            <w:shd w:val="clear" w:color="auto" w:fill="D9D9D9"/>
            <w:vAlign w:val="center"/>
          </w:tcPr>
          <w:p w14:paraId="58A42C92" w14:textId="5A609A43" w:rsidR="00F86DB3" w:rsidRPr="0065757D" w:rsidRDefault="00F86DB3" w:rsidP="00F86DB3">
            <w:pPr>
              <w:jc w:val="center"/>
              <w:rPr>
                <w:b/>
                <w:i/>
                <w:sz w:val="22"/>
                <w:szCs w:val="22"/>
              </w:rPr>
            </w:pPr>
            <w:r w:rsidRPr="0065757D">
              <w:rPr>
                <w:b/>
                <w:i/>
                <w:sz w:val="22"/>
                <w:szCs w:val="22"/>
              </w:rPr>
              <w:t>Usuarios Diferentes a los de Uso Residencial</w:t>
            </w:r>
          </w:p>
        </w:tc>
      </w:tr>
      <w:tr w:rsidR="00F86DB3" w:rsidRPr="0065757D" w14:paraId="1D2D6711" w14:textId="77777777" w:rsidTr="009D30F2">
        <w:trPr>
          <w:tblHeader/>
        </w:trPr>
        <w:tc>
          <w:tcPr>
            <w:tcW w:w="1210" w:type="pct"/>
            <w:vMerge w:val="restart"/>
            <w:shd w:val="clear" w:color="auto" w:fill="D9D9D9"/>
            <w:vAlign w:val="center"/>
          </w:tcPr>
          <w:p w14:paraId="4282481D" w14:textId="77777777" w:rsidR="00F86DB3" w:rsidRPr="0065757D" w:rsidRDefault="00F86DB3" w:rsidP="00F86DB3">
            <w:pPr>
              <w:jc w:val="center"/>
              <w:rPr>
                <w:b/>
                <w:i/>
                <w:sz w:val="22"/>
                <w:szCs w:val="22"/>
              </w:rPr>
            </w:pPr>
            <w:r w:rsidRPr="0065757D">
              <w:rPr>
                <w:b/>
                <w:i/>
                <w:sz w:val="22"/>
                <w:szCs w:val="22"/>
              </w:rPr>
              <w:t>Variable</w:t>
            </w:r>
          </w:p>
        </w:tc>
        <w:tc>
          <w:tcPr>
            <w:tcW w:w="3790" w:type="pct"/>
            <w:gridSpan w:val="3"/>
            <w:shd w:val="clear" w:color="auto" w:fill="D9D9D9"/>
            <w:vAlign w:val="center"/>
          </w:tcPr>
          <w:p w14:paraId="1B155A14" w14:textId="3280D0C2" w:rsidR="00F86DB3" w:rsidRPr="0065757D" w:rsidRDefault="00F86DB3" w:rsidP="00F86DB3">
            <w:pPr>
              <w:jc w:val="center"/>
              <w:rPr>
                <w:b/>
                <w:i/>
                <w:sz w:val="22"/>
                <w:szCs w:val="22"/>
              </w:rPr>
            </w:pPr>
            <w:r w:rsidRPr="0065757D">
              <w:rPr>
                <w:b/>
                <w:i/>
                <w:sz w:val="22"/>
                <w:szCs w:val="22"/>
              </w:rPr>
              <w:t>Valor ($31 Dic 2014)</w:t>
            </w:r>
          </w:p>
        </w:tc>
      </w:tr>
      <w:tr w:rsidR="00F86DB3" w:rsidRPr="0065757D" w14:paraId="31E6BAE0" w14:textId="77777777" w:rsidTr="009D30F2">
        <w:trPr>
          <w:trHeight w:val="119"/>
          <w:tblHeader/>
        </w:trPr>
        <w:tc>
          <w:tcPr>
            <w:tcW w:w="1210" w:type="pct"/>
            <w:vMerge/>
            <w:shd w:val="clear" w:color="auto" w:fill="D9D9D9"/>
            <w:vAlign w:val="center"/>
          </w:tcPr>
          <w:p w14:paraId="71D7BAAF" w14:textId="77777777" w:rsidR="0065757D" w:rsidRPr="0065757D" w:rsidRDefault="0065757D" w:rsidP="00F86DB3">
            <w:pPr>
              <w:jc w:val="center"/>
              <w:rPr>
                <w:i/>
                <w:sz w:val="22"/>
                <w:szCs w:val="22"/>
              </w:rPr>
            </w:pPr>
          </w:p>
        </w:tc>
        <w:tc>
          <w:tcPr>
            <w:tcW w:w="1263" w:type="pct"/>
            <w:shd w:val="clear" w:color="auto" w:fill="D9D9D9"/>
            <w:vAlign w:val="center"/>
          </w:tcPr>
          <w:p w14:paraId="7C21BEA9" w14:textId="77777777" w:rsidR="0065757D" w:rsidRPr="0065757D" w:rsidRDefault="0065757D" w:rsidP="00F86DB3">
            <w:pPr>
              <w:jc w:val="center"/>
              <w:rPr>
                <w:b/>
                <w:i/>
                <w:sz w:val="22"/>
                <w:szCs w:val="22"/>
              </w:rPr>
            </w:pPr>
            <w:r w:rsidRPr="0065757D">
              <w:rPr>
                <w:b/>
                <w:i/>
                <w:sz w:val="22"/>
                <w:szCs w:val="22"/>
              </w:rPr>
              <w:t>2017</w:t>
            </w:r>
          </w:p>
        </w:tc>
        <w:tc>
          <w:tcPr>
            <w:tcW w:w="1263" w:type="pct"/>
            <w:shd w:val="clear" w:color="auto" w:fill="D9D9D9"/>
            <w:vAlign w:val="center"/>
          </w:tcPr>
          <w:p w14:paraId="359C5999" w14:textId="77777777" w:rsidR="0065757D" w:rsidRPr="0065757D" w:rsidRDefault="0065757D" w:rsidP="00F86DB3">
            <w:pPr>
              <w:jc w:val="center"/>
              <w:rPr>
                <w:b/>
                <w:i/>
                <w:sz w:val="22"/>
                <w:szCs w:val="22"/>
              </w:rPr>
            </w:pPr>
            <w:r w:rsidRPr="0065757D">
              <w:rPr>
                <w:b/>
                <w:i/>
                <w:sz w:val="22"/>
                <w:szCs w:val="22"/>
              </w:rPr>
              <w:t>2018</w:t>
            </w:r>
          </w:p>
        </w:tc>
        <w:tc>
          <w:tcPr>
            <w:tcW w:w="1263" w:type="pct"/>
            <w:shd w:val="clear" w:color="auto" w:fill="D9D9D9"/>
            <w:vAlign w:val="center"/>
          </w:tcPr>
          <w:p w14:paraId="4A261454" w14:textId="77777777" w:rsidR="0065757D" w:rsidRPr="0065757D" w:rsidRDefault="0065757D" w:rsidP="00F86DB3">
            <w:pPr>
              <w:jc w:val="center"/>
              <w:rPr>
                <w:b/>
                <w:i/>
                <w:sz w:val="22"/>
                <w:szCs w:val="22"/>
              </w:rPr>
            </w:pPr>
            <w:r w:rsidRPr="0065757D">
              <w:rPr>
                <w:b/>
                <w:i/>
                <w:sz w:val="22"/>
                <w:szCs w:val="22"/>
              </w:rPr>
              <w:t>2019 – 2020 - 2021</w:t>
            </w:r>
          </w:p>
        </w:tc>
      </w:tr>
      <w:tr w:rsidR="009D30F2" w:rsidRPr="0065757D" w14:paraId="47FE7E1C" w14:textId="77777777" w:rsidTr="009D30F2">
        <w:trPr>
          <w:trHeight w:val="378"/>
        </w:trPr>
        <w:tc>
          <w:tcPr>
            <w:tcW w:w="1210" w:type="pct"/>
            <w:shd w:val="clear" w:color="auto" w:fill="auto"/>
            <w:vAlign w:val="center"/>
          </w:tcPr>
          <w:p w14:paraId="7B9BED7A" w14:textId="07F27C21" w:rsidR="00D1380A" w:rsidRPr="0065757D" w:rsidRDefault="00D1380A" w:rsidP="00D1380A">
            <w:pPr>
              <w:rPr>
                <w:i/>
                <w:sz w:val="22"/>
                <w:szCs w:val="22"/>
              </w:rPr>
            </w:pPr>
            <m:oMathPara>
              <m:oMathParaPr>
                <m:jc m:val="left"/>
              </m:oMathParaPr>
              <m:oMath>
                <m:r>
                  <w:rPr>
                    <w:rFonts w:ascii="Cambria Math" w:hAnsi="Cambria Math"/>
                    <w:sz w:val="22"/>
                    <w:szCs w:val="22"/>
                  </w:rPr>
                  <m:t>IBM</m:t>
                </m:r>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RPk</m:t>
                    </m:r>
                  </m:sub>
                </m:sSub>
              </m:oMath>
            </m:oMathPara>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27F253D0" w14:textId="36A2ED2E" w:rsidR="00D1380A" w:rsidRPr="00D1380A" w:rsidRDefault="00D1380A" w:rsidP="00D1380A">
            <w:pPr>
              <w:jc w:val="center"/>
              <w:rPr>
                <w:i/>
                <w:sz w:val="22"/>
                <w:szCs w:val="22"/>
              </w:rPr>
            </w:pPr>
            <w:r w:rsidRPr="00D1380A">
              <w:rPr>
                <w:i/>
                <w:color w:val="000000"/>
                <w:sz w:val="22"/>
                <w:szCs w:val="22"/>
              </w:rPr>
              <w:t>35.702.351.475</w:t>
            </w:r>
          </w:p>
        </w:tc>
        <w:tc>
          <w:tcPr>
            <w:tcW w:w="1263" w:type="pct"/>
            <w:tcBorders>
              <w:top w:val="single" w:sz="4" w:space="0" w:color="auto"/>
              <w:left w:val="nil"/>
              <w:bottom w:val="single" w:sz="4" w:space="0" w:color="auto"/>
              <w:right w:val="single" w:sz="4" w:space="0" w:color="auto"/>
            </w:tcBorders>
            <w:shd w:val="clear" w:color="auto" w:fill="auto"/>
            <w:vAlign w:val="center"/>
          </w:tcPr>
          <w:p w14:paraId="16861B05" w14:textId="6D5CA0D1" w:rsidR="00D1380A" w:rsidRPr="00D1380A" w:rsidRDefault="00D1380A" w:rsidP="00D1380A">
            <w:pPr>
              <w:jc w:val="center"/>
              <w:rPr>
                <w:i/>
                <w:sz w:val="22"/>
                <w:szCs w:val="22"/>
              </w:rPr>
            </w:pPr>
            <w:r w:rsidRPr="00D1380A">
              <w:rPr>
                <w:i/>
                <w:color w:val="000000"/>
                <w:sz w:val="22"/>
                <w:szCs w:val="22"/>
              </w:rPr>
              <w:t>36.239.404.806</w:t>
            </w:r>
          </w:p>
        </w:tc>
        <w:tc>
          <w:tcPr>
            <w:tcW w:w="1263" w:type="pct"/>
            <w:tcBorders>
              <w:top w:val="single" w:sz="4" w:space="0" w:color="auto"/>
              <w:left w:val="nil"/>
              <w:bottom w:val="single" w:sz="4" w:space="0" w:color="auto"/>
              <w:right w:val="single" w:sz="4" w:space="0" w:color="auto"/>
            </w:tcBorders>
            <w:shd w:val="clear" w:color="auto" w:fill="auto"/>
            <w:vAlign w:val="center"/>
          </w:tcPr>
          <w:p w14:paraId="31C75B18" w14:textId="29462662" w:rsidR="00D1380A" w:rsidRPr="00D1380A" w:rsidRDefault="00D1380A" w:rsidP="00D1380A">
            <w:pPr>
              <w:jc w:val="center"/>
              <w:rPr>
                <w:i/>
                <w:sz w:val="22"/>
                <w:szCs w:val="22"/>
              </w:rPr>
            </w:pPr>
            <w:r w:rsidRPr="00D1380A">
              <w:rPr>
                <w:i/>
                <w:color w:val="000000"/>
                <w:sz w:val="22"/>
                <w:szCs w:val="22"/>
              </w:rPr>
              <w:t>32.650.660.950</w:t>
            </w:r>
          </w:p>
        </w:tc>
      </w:tr>
      <w:tr w:rsidR="00D1380A" w:rsidRPr="0065757D" w14:paraId="46F0E4C5" w14:textId="77777777" w:rsidTr="009D30F2">
        <w:trPr>
          <w:trHeight w:val="378"/>
        </w:trPr>
        <w:tc>
          <w:tcPr>
            <w:tcW w:w="1210" w:type="pct"/>
            <w:shd w:val="clear" w:color="auto" w:fill="auto"/>
            <w:vAlign w:val="center"/>
          </w:tcPr>
          <w:p w14:paraId="0938E293" w14:textId="1B81168E" w:rsidR="00D1380A" w:rsidRPr="0065757D" w:rsidRDefault="00D1380A" w:rsidP="00D1380A">
            <w:pPr>
              <w:rPr>
                <w:i/>
                <w:sz w:val="22"/>
                <w:szCs w:val="22"/>
              </w:rPr>
            </w:pPr>
            <m:oMathPara>
              <m:oMathParaPr>
                <m:jc m:val="left"/>
              </m:oMathParaPr>
              <m:oMath>
                <m:r>
                  <w:rPr>
                    <w:rFonts w:ascii="Cambria Math" w:hAnsi="Cambria Math"/>
                    <w:sz w:val="22"/>
                    <w:szCs w:val="22"/>
                  </w:rPr>
                  <m:t>IBM</m:t>
                </m:r>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RS(NoRes)k</m:t>
                    </m:r>
                  </m:sub>
                </m:sSub>
              </m:oMath>
            </m:oMathPara>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6658D22E" w14:textId="1571A186" w:rsidR="00D1380A" w:rsidRPr="00D1380A" w:rsidRDefault="00D1380A" w:rsidP="00D1380A">
            <w:pPr>
              <w:jc w:val="center"/>
              <w:rPr>
                <w:i/>
                <w:sz w:val="22"/>
                <w:szCs w:val="22"/>
              </w:rPr>
            </w:pPr>
            <w:r w:rsidRPr="00D1380A">
              <w:rPr>
                <w:i/>
                <w:sz w:val="22"/>
                <w:szCs w:val="22"/>
              </w:rPr>
              <w:t>11.859.118.415</w:t>
            </w:r>
          </w:p>
        </w:tc>
        <w:tc>
          <w:tcPr>
            <w:tcW w:w="1263" w:type="pct"/>
            <w:tcBorders>
              <w:top w:val="single" w:sz="4" w:space="0" w:color="auto"/>
              <w:left w:val="nil"/>
              <w:bottom w:val="single" w:sz="4" w:space="0" w:color="auto"/>
              <w:right w:val="single" w:sz="4" w:space="0" w:color="auto"/>
            </w:tcBorders>
            <w:shd w:val="clear" w:color="auto" w:fill="auto"/>
            <w:vAlign w:val="center"/>
          </w:tcPr>
          <w:p w14:paraId="78841210" w14:textId="2C780470" w:rsidR="00D1380A" w:rsidRPr="00D1380A" w:rsidRDefault="00D1380A" w:rsidP="00D1380A">
            <w:pPr>
              <w:jc w:val="center"/>
              <w:rPr>
                <w:i/>
                <w:sz w:val="22"/>
                <w:szCs w:val="22"/>
              </w:rPr>
            </w:pPr>
            <w:r w:rsidRPr="00D1380A">
              <w:rPr>
                <w:i/>
                <w:sz w:val="22"/>
                <w:szCs w:val="22"/>
              </w:rPr>
              <w:t>12.037.509.439</w:t>
            </w:r>
          </w:p>
        </w:tc>
        <w:tc>
          <w:tcPr>
            <w:tcW w:w="1263" w:type="pct"/>
            <w:tcBorders>
              <w:top w:val="single" w:sz="4" w:space="0" w:color="auto"/>
              <w:left w:val="nil"/>
              <w:bottom w:val="single" w:sz="4" w:space="0" w:color="auto"/>
              <w:right w:val="single" w:sz="4" w:space="0" w:color="auto"/>
            </w:tcBorders>
            <w:shd w:val="clear" w:color="auto" w:fill="auto"/>
            <w:vAlign w:val="center"/>
          </w:tcPr>
          <w:p w14:paraId="7DB5EA77" w14:textId="5A400050" w:rsidR="00D1380A" w:rsidRPr="00D1380A" w:rsidRDefault="00D1380A" w:rsidP="00D1380A">
            <w:pPr>
              <w:jc w:val="center"/>
              <w:rPr>
                <w:i/>
                <w:sz w:val="22"/>
                <w:szCs w:val="22"/>
              </w:rPr>
            </w:pPr>
            <w:r w:rsidRPr="00D1380A">
              <w:rPr>
                <w:i/>
                <w:sz w:val="22"/>
                <w:szCs w:val="22"/>
              </w:rPr>
              <w:t>10.845.449.628</w:t>
            </w:r>
          </w:p>
        </w:tc>
      </w:tr>
      <w:tr w:rsidR="009D30F2" w:rsidRPr="0065757D" w14:paraId="62B9275A" w14:textId="77777777" w:rsidTr="009D30F2">
        <w:trPr>
          <w:trHeight w:val="378"/>
        </w:trPr>
        <w:tc>
          <w:tcPr>
            <w:tcW w:w="1210" w:type="pct"/>
            <w:shd w:val="clear" w:color="auto" w:fill="auto"/>
            <w:vAlign w:val="center"/>
          </w:tcPr>
          <w:p w14:paraId="2285380E" w14:textId="3439175E" w:rsidR="00D1380A" w:rsidRPr="0065757D" w:rsidRDefault="00B11897" w:rsidP="00D1380A">
            <w:pPr>
              <w:rPr>
                <w: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Tk</m:t>
                    </m:r>
                  </m:sub>
                </m:sSub>
              </m:oMath>
            </m:oMathPara>
          </w:p>
        </w:tc>
        <w:tc>
          <w:tcPr>
            <w:tcW w:w="1263" w:type="pct"/>
            <w:tcBorders>
              <w:top w:val="nil"/>
              <w:left w:val="single" w:sz="4" w:space="0" w:color="auto"/>
              <w:bottom w:val="single" w:sz="4" w:space="0" w:color="auto"/>
              <w:right w:val="single" w:sz="4" w:space="0" w:color="auto"/>
            </w:tcBorders>
            <w:shd w:val="clear" w:color="auto" w:fill="auto"/>
            <w:vAlign w:val="center"/>
          </w:tcPr>
          <w:p w14:paraId="6BC4266F" w14:textId="3ECED260" w:rsidR="00D1380A" w:rsidRPr="00D1380A" w:rsidRDefault="00D1380A" w:rsidP="00D1380A">
            <w:pPr>
              <w:jc w:val="center"/>
              <w:rPr>
                <w:i/>
                <w:sz w:val="22"/>
                <w:szCs w:val="22"/>
              </w:rPr>
            </w:pPr>
            <w:r w:rsidRPr="00D1380A">
              <w:rPr>
                <w:i/>
                <w:color w:val="000000"/>
                <w:sz w:val="22"/>
                <w:szCs w:val="22"/>
              </w:rPr>
              <w:t>562.910.459</w:t>
            </w:r>
          </w:p>
        </w:tc>
        <w:tc>
          <w:tcPr>
            <w:tcW w:w="1263" w:type="pct"/>
            <w:tcBorders>
              <w:top w:val="nil"/>
              <w:left w:val="nil"/>
              <w:bottom w:val="single" w:sz="4" w:space="0" w:color="auto"/>
              <w:right w:val="single" w:sz="4" w:space="0" w:color="auto"/>
            </w:tcBorders>
            <w:shd w:val="clear" w:color="auto" w:fill="auto"/>
            <w:vAlign w:val="center"/>
          </w:tcPr>
          <w:p w14:paraId="5F0356C0" w14:textId="2E2B4E9C" w:rsidR="00D1380A" w:rsidRPr="00D1380A" w:rsidRDefault="00D1380A" w:rsidP="00D1380A">
            <w:pPr>
              <w:jc w:val="center"/>
              <w:rPr>
                <w:i/>
                <w:sz w:val="22"/>
                <w:szCs w:val="22"/>
              </w:rPr>
            </w:pPr>
            <w:r w:rsidRPr="00D1380A">
              <w:rPr>
                <w:i/>
                <w:color w:val="000000"/>
                <w:sz w:val="22"/>
                <w:szCs w:val="22"/>
              </w:rPr>
              <w:t>562.910.459</w:t>
            </w:r>
          </w:p>
        </w:tc>
        <w:tc>
          <w:tcPr>
            <w:tcW w:w="1263" w:type="pct"/>
            <w:tcBorders>
              <w:top w:val="nil"/>
              <w:left w:val="nil"/>
              <w:bottom w:val="single" w:sz="4" w:space="0" w:color="auto"/>
              <w:right w:val="single" w:sz="4" w:space="0" w:color="auto"/>
            </w:tcBorders>
            <w:shd w:val="clear" w:color="auto" w:fill="auto"/>
            <w:vAlign w:val="center"/>
          </w:tcPr>
          <w:p w14:paraId="1E23E948" w14:textId="42A6E152" w:rsidR="00D1380A" w:rsidRPr="00D1380A" w:rsidRDefault="00D1380A" w:rsidP="00D1380A">
            <w:pPr>
              <w:jc w:val="center"/>
              <w:rPr>
                <w:i/>
                <w:sz w:val="22"/>
                <w:szCs w:val="22"/>
              </w:rPr>
            </w:pPr>
            <w:r w:rsidRPr="00D1380A">
              <w:rPr>
                <w:i/>
                <w:color w:val="000000"/>
                <w:sz w:val="22"/>
                <w:szCs w:val="22"/>
              </w:rPr>
              <w:t>562.910.459</w:t>
            </w:r>
          </w:p>
        </w:tc>
      </w:tr>
      <w:tr w:rsidR="009D30F2" w:rsidRPr="0065757D" w14:paraId="35767417" w14:textId="77777777" w:rsidTr="009D30F2">
        <w:trPr>
          <w:trHeight w:val="332"/>
        </w:trPr>
        <w:tc>
          <w:tcPr>
            <w:tcW w:w="1210" w:type="pct"/>
            <w:shd w:val="clear" w:color="auto" w:fill="auto"/>
            <w:vAlign w:val="center"/>
          </w:tcPr>
          <w:p w14:paraId="74278A5F" w14:textId="5E042E46" w:rsidR="00D1380A" w:rsidRPr="0065757D" w:rsidRDefault="00B11897" w:rsidP="00D1380A">
            <w:pPr>
              <w:rPr>
                <w: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Tk</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Resk</m:t>
                    </m:r>
                  </m:sub>
                </m:sSub>
              </m:oMath>
            </m:oMathPara>
          </w:p>
        </w:tc>
        <w:tc>
          <w:tcPr>
            <w:tcW w:w="1263" w:type="pct"/>
            <w:tcBorders>
              <w:top w:val="nil"/>
              <w:left w:val="single" w:sz="4" w:space="0" w:color="auto"/>
              <w:bottom w:val="single" w:sz="4" w:space="0" w:color="auto"/>
              <w:right w:val="single" w:sz="4" w:space="0" w:color="auto"/>
            </w:tcBorders>
            <w:shd w:val="clear" w:color="auto" w:fill="auto"/>
            <w:vAlign w:val="center"/>
          </w:tcPr>
          <w:p w14:paraId="2BF4672F" w14:textId="18C71934" w:rsidR="00D1380A" w:rsidRPr="00D1380A" w:rsidRDefault="00D1380A" w:rsidP="00D1380A">
            <w:pPr>
              <w:jc w:val="center"/>
              <w:rPr>
                <w:i/>
                <w:sz w:val="22"/>
                <w:szCs w:val="22"/>
              </w:rPr>
            </w:pPr>
            <w:r w:rsidRPr="00D1380A">
              <w:rPr>
                <w:i/>
                <w:color w:val="000000"/>
                <w:sz w:val="22"/>
                <w:szCs w:val="22"/>
              </w:rPr>
              <w:t>417.824.137</w:t>
            </w:r>
          </w:p>
        </w:tc>
        <w:tc>
          <w:tcPr>
            <w:tcW w:w="1263" w:type="pct"/>
            <w:tcBorders>
              <w:top w:val="nil"/>
              <w:left w:val="nil"/>
              <w:bottom w:val="single" w:sz="4" w:space="0" w:color="auto"/>
              <w:right w:val="single" w:sz="4" w:space="0" w:color="auto"/>
            </w:tcBorders>
            <w:shd w:val="clear" w:color="auto" w:fill="auto"/>
            <w:vAlign w:val="center"/>
          </w:tcPr>
          <w:p w14:paraId="5A27358A" w14:textId="1680DDE2" w:rsidR="00D1380A" w:rsidRPr="00D1380A" w:rsidRDefault="00D1380A" w:rsidP="00D1380A">
            <w:pPr>
              <w:jc w:val="center"/>
              <w:rPr>
                <w:i/>
                <w:sz w:val="22"/>
                <w:szCs w:val="22"/>
              </w:rPr>
            </w:pPr>
            <w:r w:rsidRPr="00D1380A">
              <w:rPr>
                <w:i/>
                <w:color w:val="000000"/>
                <w:sz w:val="22"/>
                <w:szCs w:val="22"/>
              </w:rPr>
              <w:t>417.824.137</w:t>
            </w:r>
          </w:p>
        </w:tc>
        <w:tc>
          <w:tcPr>
            <w:tcW w:w="1263" w:type="pct"/>
            <w:tcBorders>
              <w:top w:val="nil"/>
              <w:left w:val="nil"/>
              <w:bottom w:val="single" w:sz="4" w:space="0" w:color="auto"/>
              <w:right w:val="single" w:sz="4" w:space="0" w:color="auto"/>
            </w:tcBorders>
            <w:shd w:val="clear" w:color="auto" w:fill="auto"/>
            <w:vAlign w:val="center"/>
          </w:tcPr>
          <w:p w14:paraId="2D3DC334" w14:textId="156E9700" w:rsidR="00D1380A" w:rsidRPr="00D1380A" w:rsidRDefault="00D1380A" w:rsidP="00D1380A">
            <w:pPr>
              <w:jc w:val="center"/>
              <w:rPr>
                <w:i/>
                <w:sz w:val="22"/>
                <w:szCs w:val="22"/>
              </w:rPr>
            </w:pPr>
            <w:r w:rsidRPr="00D1380A">
              <w:rPr>
                <w:i/>
                <w:color w:val="000000"/>
                <w:sz w:val="22"/>
                <w:szCs w:val="22"/>
              </w:rPr>
              <w:t>417.824.137</w:t>
            </w:r>
          </w:p>
        </w:tc>
      </w:tr>
    </w:tbl>
    <w:p w14:paraId="7C4450C1" w14:textId="421B730B" w:rsidR="00CF3FD0" w:rsidRDefault="00CF3FD0" w:rsidP="009D30F2">
      <w:pPr>
        <w:tabs>
          <w:tab w:val="left" w:pos="0"/>
          <w:tab w:val="left" w:pos="993"/>
        </w:tabs>
        <w:autoSpaceDE w:val="0"/>
        <w:autoSpaceDN w:val="0"/>
        <w:adjustRightInd w:val="0"/>
        <w:spacing w:before="240" w:after="240"/>
        <w:ind w:left="-142"/>
        <w:rPr>
          <w:rFonts w:cs="Arial"/>
        </w:rPr>
      </w:pPr>
      <w:r>
        <w:rPr>
          <w:rFonts w:eastAsia="Calibri" w:cs="Century Gothic"/>
          <w:b/>
          <w:lang w:eastAsia="es-CO"/>
        </w:rPr>
        <w:t>ARTÍCULO 2</w:t>
      </w:r>
      <w:r w:rsidRPr="00636742">
        <w:rPr>
          <w:rFonts w:eastAsia="Calibri" w:cs="Century Gothic"/>
          <w:b/>
          <w:lang w:eastAsia="es-CO"/>
        </w:rPr>
        <w:t xml:space="preserve">. </w:t>
      </w:r>
      <w:r>
        <w:rPr>
          <w:rFonts w:eastAsia="Calibri" w:cs="Century Gothic"/>
          <w:lang w:eastAsia="es-CO"/>
        </w:rPr>
        <w:t>Modificar el A</w:t>
      </w:r>
      <w:r w:rsidRPr="00636742">
        <w:rPr>
          <w:rFonts w:eastAsia="Calibri" w:cs="Century Gothic"/>
          <w:lang w:eastAsia="es-CO"/>
        </w:rPr>
        <w:t>rtículo</w:t>
      </w:r>
      <w:r>
        <w:rPr>
          <w:rFonts w:eastAsia="Calibri" w:cs="Century Gothic"/>
          <w:lang w:eastAsia="es-CO"/>
        </w:rPr>
        <w:t xml:space="preserve"> </w:t>
      </w:r>
      <w:r w:rsidR="009D30F2">
        <w:rPr>
          <w:rFonts w:eastAsia="Calibri" w:cs="Century Gothic"/>
          <w:lang w:eastAsia="es-CO"/>
        </w:rPr>
        <w:t>4</w:t>
      </w:r>
      <w:r w:rsidRPr="00636742">
        <w:rPr>
          <w:rFonts w:eastAsia="Calibri" w:cs="Century Gothic"/>
          <w:lang w:eastAsia="es-CO"/>
        </w:rPr>
        <w:t xml:space="preserve"> “</w:t>
      </w:r>
      <w:r w:rsidR="009D30F2">
        <w:rPr>
          <w:rFonts w:eastAsia="Calibri" w:cs="Century Gothic"/>
          <w:lang w:eastAsia="es-CO"/>
        </w:rPr>
        <w:t>Gastos de Administración, Operación y Mantenimiento - AOM</w:t>
      </w:r>
      <w:r w:rsidR="009D30F2">
        <w:rPr>
          <w:rFonts w:cs="Arial"/>
        </w:rPr>
        <w:t>” de la Resolución CREG 198</w:t>
      </w:r>
      <w:r w:rsidRPr="00636742">
        <w:rPr>
          <w:rFonts w:cs="Arial"/>
        </w:rPr>
        <w:t xml:space="preserve"> de 201</w:t>
      </w:r>
      <w:r w:rsidR="009D30F2">
        <w:rPr>
          <w:rFonts w:cs="Arial"/>
        </w:rPr>
        <w:t>7</w:t>
      </w:r>
      <w:r>
        <w:rPr>
          <w:rFonts w:cs="Arial"/>
        </w:rPr>
        <w:t>, el cual quedará así:</w:t>
      </w:r>
    </w:p>
    <w:p w14:paraId="5BDE82EA" w14:textId="1033121C" w:rsidR="009D30F2" w:rsidRPr="009D30F2" w:rsidRDefault="009D30F2" w:rsidP="009D30F2">
      <w:pPr>
        <w:spacing w:before="240" w:after="240"/>
        <w:ind w:left="284" w:right="284"/>
        <w:rPr>
          <w:rFonts w:cs="Arial"/>
          <w:bCs/>
          <w:i/>
          <w:sz w:val="22"/>
          <w:szCs w:val="22"/>
        </w:rPr>
      </w:pPr>
      <w:r w:rsidRPr="009D30F2">
        <w:rPr>
          <w:rFonts w:cs="Arial"/>
          <w:b/>
          <w:i/>
          <w:sz w:val="22"/>
          <w:szCs w:val="22"/>
        </w:rPr>
        <w:t>“ARTÍCULO 4. Gastos de Administración, Operación y Mantenimiento - AOM.</w:t>
      </w:r>
      <w:r w:rsidRPr="009D30F2">
        <w:rPr>
          <w:rFonts w:cs="Arial"/>
          <w:bCs/>
          <w:i/>
          <w:sz w:val="22"/>
          <w:szCs w:val="22"/>
        </w:rPr>
        <w:t xml:space="preserve"> El porcentaje eficiente de AOM establecido para el mercado existente de distribución es del 11,91%, del cual se obtiene el </w:t>
      </w:r>
      <w:r w:rsidRPr="009D30F2">
        <w:rPr>
          <w:rFonts w:cs="Arial"/>
          <w:i/>
          <w:sz w:val="22"/>
          <w:szCs w:val="22"/>
          <w:lang w:val="es-ES_tradnl" w:eastAsia="es-CO"/>
        </w:rPr>
        <w:t>monto eficiente de gastos de AOM de $</w:t>
      </w:r>
      <w:r w:rsidRPr="009D30F2">
        <w:rPr>
          <w:rFonts w:cs="Arial"/>
          <w:i/>
          <w:color w:val="000000"/>
          <w:sz w:val="22"/>
          <w:szCs w:val="22"/>
          <w:lang w:val="es-CO" w:eastAsia="es-CO"/>
        </w:rPr>
        <w:t xml:space="preserve">49.433.439.929 </w:t>
      </w:r>
      <w:r w:rsidRPr="009D30F2">
        <w:rPr>
          <w:rFonts w:cs="Arial"/>
          <w:i/>
          <w:sz w:val="22"/>
          <w:szCs w:val="22"/>
          <w:lang w:val="es-ES_tradnl" w:eastAsia="es-CO"/>
        </w:rPr>
        <w:t>que se considerará en los cálculos de los cargos transitorios de distribución.</w:t>
      </w:r>
    </w:p>
    <w:p w14:paraId="02513449" w14:textId="77777777" w:rsidR="009D30F2" w:rsidRPr="009D30F2" w:rsidRDefault="009D30F2" w:rsidP="009D30F2">
      <w:pPr>
        <w:adjustRightInd w:val="0"/>
        <w:spacing w:before="240" w:after="240"/>
        <w:ind w:left="284" w:right="284"/>
        <w:rPr>
          <w:rFonts w:cs="Arial"/>
          <w:b/>
          <w:i/>
          <w:sz w:val="22"/>
          <w:szCs w:val="22"/>
        </w:rPr>
      </w:pPr>
      <w:r w:rsidRPr="009D30F2">
        <w:rPr>
          <w:rFonts w:cs="Arial"/>
          <w:i/>
          <w:sz w:val="22"/>
          <w:szCs w:val="22"/>
        </w:rPr>
        <w:t>Aplicando la metodología contenida en la Resolución CREG 202 de 2013 y sus modificaciones y adiciones, se calcularon conforme a las formulas establecidas en los numerales 9.1.1.1. y 9.2.1.1. del artículo 9 para la componente que remunera los gastos de AOM, aplicable a usuarios de uso residencial y a usuarios diferentes a los de uso residencial, las siguientes variables principales:</w:t>
      </w:r>
    </w:p>
    <w:tbl>
      <w:tblPr>
        <w:tblW w:w="4701"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172"/>
        <w:gridCol w:w="2172"/>
        <w:gridCol w:w="2174"/>
      </w:tblGrid>
      <w:tr w:rsidR="009D30F2" w:rsidRPr="006D5107" w14:paraId="074EE5BC" w14:textId="77777777" w:rsidTr="006D5107">
        <w:trPr>
          <w:tblHeader/>
        </w:trPr>
        <w:tc>
          <w:tcPr>
            <w:tcW w:w="5000" w:type="pct"/>
            <w:gridSpan w:val="4"/>
            <w:shd w:val="clear" w:color="auto" w:fill="D9D9D9"/>
            <w:vAlign w:val="center"/>
          </w:tcPr>
          <w:p w14:paraId="004F8FDE" w14:textId="77777777" w:rsidR="009D30F2" w:rsidRPr="006D5107" w:rsidRDefault="009D30F2" w:rsidP="00B3284F">
            <w:pPr>
              <w:jc w:val="center"/>
              <w:rPr>
                <w:rFonts w:cs="Arial"/>
                <w:b/>
                <w:i/>
                <w:sz w:val="22"/>
                <w:szCs w:val="22"/>
              </w:rPr>
            </w:pPr>
            <w:r w:rsidRPr="006D5107">
              <w:rPr>
                <w:rFonts w:cs="Arial"/>
                <w:b/>
                <w:i/>
                <w:sz w:val="22"/>
                <w:szCs w:val="22"/>
              </w:rPr>
              <w:lastRenderedPageBreak/>
              <w:t>Usuarios de Uso Residencial</w:t>
            </w:r>
          </w:p>
        </w:tc>
      </w:tr>
      <w:tr w:rsidR="009D30F2" w:rsidRPr="006D5107" w14:paraId="36941B6D" w14:textId="77777777" w:rsidTr="006D5107">
        <w:trPr>
          <w:tblHeader/>
        </w:trPr>
        <w:tc>
          <w:tcPr>
            <w:tcW w:w="1291" w:type="pct"/>
            <w:vMerge w:val="restart"/>
            <w:shd w:val="clear" w:color="auto" w:fill="D9D9D9"/>
            <w:vAlign w:val="center"/>
          </w:tcPr>
          <w:p w14:paraId="78D01C9A" w14:textId="77777777" w:rsidR="009D30F2" w:rsidRPr="006D5107" w:rsidRDefault="009D30F2" w:rsidP="00B3284F">
            <w:pPr>
              <w:jc w:val="center"/>
              <w:rPr>
                <w:rFonts w:cs="Arial"/>
                <w:b/>
                <w:i/>
                <w:sz w:val="22"/>
                <w:szCs w:val="22"/>
              </w:rPr>
            </w:pPr>
            <w:r w:rsidRPr="006D5107">
              <w:rPr>
                <w:rFonts w:cs="Arial"/>
                <w:b/>
                <w:i/>
                <w:sz w:val="22"/>
                <w:szCs w:val="22"/>
              </w:rPr>
              <w:t>Variable</w:t>
            </w:r>
          </w:p>
        </w:tc>
        <w:tc>
          <w:tcPr>
            <w:tcW w:w="3709" w:type="pct"/>
            <w:gridSpan w:val="3"/>
            <w:shd w:val="clear" w:color="auto" w:fill="D9D9D9"/>
            <w:vAlign w:val="center"/>
          </w:tcPr>
          <w:p w14:paraId="62E6428E" w14:textId="77777777" w:rsidR="009D30F2" w:rsidRPr="006D5107" w:rsidRDefault="009D30F2" w:rsidP="00B3284F">
            <w:pPr>
              <w:jc w:val="center"/>
              <w:rPr>
                <w:rFonts w:cs="Arial"/>
                <w:b/>
                <w:i/>
                <w:sz w:val="22"/>
                <w:szCs w:val="22"/>
              </w:rPr>
            </w:pPr>
            <w:r w:rsidRPr="006D5107">
              <w:rPr>
                <w:rFonts w:cs="Arial"/>
                <w:b/>
                <w:i/>
                <w:sz w:val="22"/>
                <w:szCs w:val="22"/>
              </w:rPr>
              <w:t>Valor ($31 Dic 2014)</w:t>
            </w:r>
          </w:p>
        </w:tc>
      </w:tr>
      <w:tr w:rsidR="006D5107" w:rsidRPr="006D5107" w14:paraId="67F9CECE" w14:textId="77777777" w:rsidTr="006D5107">
        <w:trPr>
          <w:trHeight w:val="119"/>
          <w:tblHeader/>
        </w:trPr>
        <w:tc>
          <w:tcPr>
            <w:tcW w:w="1291" w:type="pct"/>
            <w:vMerge/>
            <w:shd w:val="clear" w:color="auto" w:fill="D9D9D9"/>
            <w:vAlign w:val="center"/>
          </w:tcPr>
          <w:p w14:paraId="6AECF644" w14:textId="77777777" w:rsidR="009D30F2" w:rsidRPr="006D5107" w:rsidRDefault="009D30F2" w:rsidP="00B3284F">
            <w:pPr>
              <w:jc w:val="center"/>
              <w:rPr>
                <w:rFonts w:cs="Arial"/>
                <w:i/>
                <w:sz w:val="22"/>
                <w:szCs w:val="22"/>
              </w:rPr>
            </w:pPr>
          </w:p>
        </w:tc>
        <w:tc>
          <w:tcPr>
            <w:tcW w:w="1236" w:type="pct"/>
            <w:shd w:val="clear" w:color="auto" w:fill="D9D9D9"/>
            <w:vAlign w:val="center"/>
          </w:tcPr>
          <w:p w14:paraId="1FB08E75" w14:textId="77777777" w:rsidR="009D30F2" w:rsidRPr="006D5107" w:rsidRDefault="009D30F2" w:rsidP="00B3284F">
            <w:pPr>
              <w:jc w:val="center"/>
              <w:rPr>
                <w:rFonts w:cs="Arial"/>
                <w:b/>
                <w:i/>
                <w:sz w:val="22"/>
                <w:szCs w:val="22"/>
              </w:rPr>
            </w:pPr>
            <w:r w:rsidRPr="006D5107">
              <w:rPr>
                <w:rFonts w:cs="Arial"/>
                <w:b/>
                <w:i/>
                <w:sz w:val="22"/>
                <w:szCs w:val="22"/>
              </w:rPr>
              <w:t>2017</w:t>
            </w:r>
          </w:p>
        </w:tc>
        <w:tc>
          <w:tcPr>
            <w:tcW w:w="1236" w:type="pct"/>
            <w:shd w:val="clear" w:color="auto" w:fill="D9D9D9"/>
            <w:vAlign w:val="center"/>
          </w:tcPr>
          <w:p w14:paraId="5355ECCE" w14:textId="77777777" w:rsidR="009D30F2" w:rsidRPr="006D5107" w:rsidRDefault="009D30F2" w:rsidP="00B3284F">
            <w:pPr>
              <w:jc w:val="center"/>
              <w:rPr>
                <w:rFonts w:cs="Arial"/>
                <w:b/>
                <w:i/>
                <w:sz w:val="22"/>
                <w:szCs w:val="22"/>
              </w:rPr>
            </w:pPr>
            <w:r w:rsidRPr="006D5107">
              <w:rPr>
                <w:rFonts w:cs="Arial"/>
                <w:b/>
                <w:i/>
                <w:sz w:val="22"/>
                <w:szCs w:val="22"/>
              </w:rPr>
              <w:t>2018</w:t>
            </w:r>
          </w:p>
        </w:tc>
        <w:tc>
          <w:tcPr>
            <w:tcW w:w="1237" w:type="pct"/>
            <w:shd w:val="clear" w:color="auto" w:fill="D9D9D9"/>
            <w:vAlign w:val="center"/>
          </w:tcPr>
          <w:p w14:paraId="226A6D8F" w14:textId="77777777" w:rsidR="009D30F2" w:rsidRPr="006D5107" w:rsidRDefault="009D30F2" w:rsidP="00B3284F">
            <w:pPr>
              <w:jc w:val="center"/>
              <w:rPr>
                <w:rFonts w:cs="Arial"/>
                <w:b/>
                <w:i/>
                <w:sz w:val="22"/>
                <w:szCs w:val="22"/>
              </w:rPr>
            </w:pPr>
            <w:r w:rsidRPr="006D5107">
              <w:rPr>
                <w:rFonts w:cs="Arial"/>
                <w:b/>
                <w:i/>
                <w:sz w:val="22"/>
                <w:szCs w:val="22"/>
              </w:rPr>
              <w:t>2019 – 2020 - 2021</w:t>
            </w:r>
          </w:p>
        </w:tc>
      </w:tr>
      <w:tr w:rsidR="006D5107" w:rsidRPr="006D5107" w14:paraId="4279185C" w14:textId="77777777" w:rsidTr="006D5107">
        <w:trPr>
          <w:trHeight w:val="378"/>
        </w:trPr>
        <w:tc>
          <w:tcPr>
            <w:tcW w:w="1291" w:type="pct"/>
            <w:shd w:val="clear" w:color="auto" w:fill="auto"/>
            <w:vAlign w:val="center"/>
          </w:tcPr>
          <w:p w14:paraId="757F9617" w14:textId="14E0A645" w:rsidR="006D5107" w:rsidRPr="006D5107" w:rsidRDefault="00B11897" w:rsidP="006D5107">
            <w:pPr>
              <w:rPr>
                <w:rFonts w:cs="Arial"/>
                <w:i/>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AOM</m:t>
                    </m:r>
                  </m:e>
                  <m:sub>
                    <m:r>
                      <w:rPr>
                        <w:rFonts w:ascii="Cambria Math" w:hAnsi="Cambria Math" w:cs="Arial"/>
                        <w:sz w:val="22"/>
                        <w:szCs w:val="22"/>
                      </w:rPr>
                      <m:t>RPk</m:t>
                    </m:r>
                  </m:sub>
                </m:sSub>
              </m:oMath>
            </m:oMathPara>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14:paraId="3AADE7B8" w14:textId="7CEE514F" w:rsidR="006D5107" w:rsidRPr="006D5107" w:rsidRDefault="006D5107" w:rsidP="006D5107">
            <w:pPr>
              <w:jc w:val="center"/>
              <w:rPr>
                <w:rFonts w:cs="Arial"/>
                <w:i/>
                <w:sz w:val="22"/>
                <w:szCs w:val="22"/>
              </w:rPr>
            </w:pPr>
            <w:r w:rsidRPr="006D5107">
              <w:rPr>
                <w:i/>
                <w:color w:val="000000"/>
                <w:sz w:val="22"/>
                <w:szCs w:val="22"/>
              </w:rPr>
              <w:t>19.002.794.660</w:t>
            </w:r>
          </w:p>
        </w:tc>
        <w:tc>
          <w:tcPr>
            <w:tcW w:w="1236" w:type="pct"/>
            <w:tcBorders>
              <w:top w:val="single" w:sz="4" w:space="0" w:color="auto"/>
              <w:left w:val="nil"/>
              <w:bottom w:val="single" w:sz="4" w:space="0" w:color="auto"/>
              <w:right w:val="single" w:sz="4" w:space="0" w:color="auto"/>
            </w:tcBorders>
            <w:shd w:val="clear" w:color="auto" w:fill="auto"/>
            <w:vAlign w:val="center"/>
          </w:tcPr>
          <w:p w14:paraId="3C9F3EF5" w14:textId="5DB25150" w:rsidR="006D5107" w:rsidRPr="006D5107" w:rsidRDefault="006D5107" w:rsidP="006D5107">
            <w:pPr>
              <w:jc w:val="center"/>
              <w:rPr>
                <w:rFonts w:cs="Arial"/>
                <w:i/>
                <w:sz w:val="22"/>
                <w:szCs w:val="22"/>
              </w:rPr>
            </w:pPr>
            <w:r w:rsidRPr="006D5107">
              <w:rPr>
                <w:i/>
                <w:color w:val="000000"/>
                <w:sz w:val="22"/>
                <w:szCs w:val="22"/>
              </w:rPr>
              <w:t>19.002.794.660</w:t>
            </w:r>
          </w:p>
        </w:tc>
        <w:tc>
          <w:tcPr>
            <w:tcW w:w="1236" w:type="pct"/>
            <w:tcBorders>
              <w:top w:val="single" w:sz="4" w:space="0" w:color="auto"/>
              <w:left w:val="nil"/>
              <w:bottom w:val="single" w:sz="4" w:space="0" w:color="auto"/>
              <w:right w:val="single" w:sz="4" w:space="0" w:color="auto"/>
            </w:tcBorders>
            <w:shd w:val="clear" w:color="auto" w:fill="auto"/>
            <w:vAlign w:val="center"/>
          </w:tcPr>
          <w:p w14:paraId="443F10EC" w14:textId="1CE64F98" w:rsidR="006D5107" w:rsidRPr="006D5107" w:rsidRDefault="006D5107" w:rsidP="006D5107">
            <w:pPr>
              <w:jc w:val="center"/>
              <w:rPr>
                <w:rFonts w:cs="Arial"/>
                <w:i/>
                <w:sz w:val="22"/>
                <w:szCs w:val="22"/>
              </w:rPr>
            </w:pPr>
            <w:r w:rsidRPr="006D5107">
              <w:rPr>
                <w:i/>
                <w:color w:val="000000"/>
                <w:sz w:val="22"/>
                <w:szCs w:val="22"/>
              </w:rPr>
              <w:t>19.002.794.660</w:t>
            </w:r>
          </w:p>
        </w:tc>
      </w:tr>
      <w:tr w:rsidR="006D5107" w:rsidRPr="006D5107" w14:paraId="1B5C7724" w14:textId="77777777" w:rsidTr="006D5107">
        <w:trPr>
          <w:trHeight w:val="378"/>
        </w:trPr>
        <w:tc>
          <w:tcPr>
            <w:tcW w:w="1291" w:type="pct"/>
            <w:shd w:val="clear" w:color="auto" w:fill="auto"/>
            <w:vAlign w:val="center"/>
          </w:tcPr>
          <w:p w14:paraId="3AA8471B" w14:textId="6003CF46" w:rsidR="006D5107" w:rsidRPr="006D5107" w:rsidRDefault="00B11897" w:rsidP="006D5107">
            <w:pPr>
              <w:rPr>
                <w:rFonts w:cs="Arial"/>
                <w:i/>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AOM</m:t>
                    </m:r>
                  </m:e>
                  <m:sub>
                    <m:r>
                      <w:rPr>
                        <w:rFonts w:ascii="Cambria Math" w:hAnsi="Cambria Math" w:cs="Arial"/>
                        <w:sz w:val="22"/>
                        <w:szCs w:val="22"/>
                      </w:rPr>
                      <m:t>RSk</m:t>
                    </m:r>
                  </m:sub>
                </m:sSub>
              </m:oMath>
            </m:oMathPara>
          </w:p>
        </w:tc>
        <w:tc>
          <w:tcPr>
            <w:tcW w:w="1236" w:type="pct"/>
            <w:tcBorders>
              <w:top w:val="nil"/>
              <w:left w:val="single" w:sz="4" w:space="0" w:color="auto"/>
              <w:bottom w:val="single" w:sz="4" w:space="0" w:color="auto"/>
              <w:right w:val="single" w:sz="4" w:space="0" w:color="auto"/>
            </w:tcBorders>
            <w:shd w:val="clear" w:color="auto" w:fill="auto"/>
            <w:vAlign w:val="center"/>
          </w:tcPr>
          <w:p w14:paraId="64BCADCC" w14:textId="4A88326A" w:rsidR="006D5107" w:rsidRPr="006D5107" w:rsidRDefault="006D5107" w:rsidP="006D5107">
            <w:pPr>
              <w:jc w:val="center"/>
              <w:rPr>
                <w:rFonts w:cs="Arial"/>
                <w:i/>
                <w:sz w:val="22"/>
                <w:szCs w:val="22"/>
              </w:rPr>
            </w:pPr>
            <w:r w:rsidRPr="006D5107">
              <w:rPr>
                <w:i/>
                <w:color w:val="000000"/>
                <w:sz w:val="22"/>
                <w:szCs w:val="22"/>
              </w:rPr>
              <w:t>32.985.730.146</w:t>
            </w:r>
          </w:p>
        </w:tc>
        <w:tc>
          <w:tcPr>
            <w:tcW w:w="1236" w:type="pct"/>
            <w:tcBorders>
              <w:top w:val="nil"/>
              <w:left w:val="nil"/>
              <w:bottom w:val="single" w:sz="4" w:space="0" w:color="auto"/>
              <w:right w:val="single" w:sz="4" w:space="0" w:color="auto"/>
            </w:tcBorders>
            <w:shd w:val="clear" w:color="auto" w:fill="auto"/>
            <w:vAlign w:val="center"/>
          </w:tcPr>
          <w:p w14:paraId="356466E4" w14:textId="6602EF30" w:rsidR="006D5107" w:rsidRPr="006D5107" w:rsidRDefault="006D5107" w:rsidP="006D5107">
            <w:pPr>
              <w:jc w:val="center"/>
              <w:rPr>
                <w:rFonts w:cs="Arial"/>
                <w:i/>
                <w:sz w:val="22"/>
                <w:szCs w:val="22"/>
              </w:rPr>
            </w:pPr>
            <w:r w:rsidRPr="006D5107">
              <w:rPr>
                <w:i/>
                <w:color w:val="000000"/>
                <w:sz w:val="22"/>
                <w:szCs w:val="22"/>
              </w:rPr>
              <w:t>32.985.730.146</w:t>
            </w:r>
          </w:p>
        </w:tc>
        <w:tc>
          <w:tcPr>
            <w:tcW w:w="1237" w:type="pct"/>
            <w:tcBorders>
              <w:top w:val="nil"/>
              <w:left w:val="nil"/>
              <w:bottom w:val="single" w:sz="4" w:space="0" w:color="auto"/>
              <w:right w:val="single" w:sz="4" w:space="0" w:color="auto"/>
            </w:tcBorders>
            <w:shd w:val="clear" w:color="auto" w:fill="auto"/>
            <w:vAlign w:val="center"/>
          </w:tcPr>
          <w:p w14:paraId="67CC155D" w14:textId="199EE6BF" w:rsidR="006D5107" w:rsidRPr="006D5107" w:rsidRDefault="006D5107" w:rsidP="006D5107">
            <w:pPr>
              <w:jc w:val="center"/>
              <w:rPr>
                <w:rFonts w:cs="Arial"/>
                <w:i/>
                <w:sz w:val="22"/>
                <w:szCs w:val="22"/>
              </w:rPr>
            </w:pPr>
            <w:r w:rsidRPr="006D5107">
              <w:rPr>
                <w:i/>
                <w:color w:val="000000"/>
                <w:sz w:val="22"/>
                <w:szCs w:val="22"/>
              </w:rPr>
              <w:t>32.985.730.146</w:t>
            </w:r>
          </w:p>
        </w:tc>
      </w:tr>
      <w:tr w:rsidR="006D5107" w:rsidRPr="006D5107" w14:paraId="63ADD081" w14:textId="77777777" w:rsidTr="006D5107">
        <w:trPr>
          <w:trHeight w:val="378"/>
        </w:trPr>
        <w:tc>
          <w:tcPr>
            <w:tcW w:w="1291" w:type="pct"/>
            <w:shd w:val="clear" w:color="auto" w:fill="auto"/>
            <w:vAlign w:val="center"/>
          </w:tcPr>
          <w:p w14:paraId="45535833" w14:textId="75265491" w:rsidR="006D5107" w:rsidRPr="006D5107" w:rsidRDefault="00B11897" w:rsidP="006D5107">
            <w:pPr>
              <w:rPr>
                <w:rFonts w:cs="Arial"/>
                <w:i/>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Tk</m:t>
                    </m:r>
                  </m:sub>
                </m:sSub>
              </m:oMath>
            </m:oMathPara>
          </w:p>
        </w:tc>
        <w:tc>
          <w:tcPr>
            <w:tcW w:w="1236" w:type="pct"/>
            <w:tcBorders>
              <w:top w:val="nil"/>
              <w:left w:val="single" w:sz="4" w:space="0" w:color="auto"/>
              <w:bottom w:val="single" w:sz="4" w:space="0" w:color="auto"/>
              <w:right w:val="single" w:sz="4" w:space="0" w:color="auto"/>
            </w:tcBorders>
            <w:shd w:val="clear" w:color="auto" w:fill="auto"/>
            <w:vAlign w:val="center"/>
          </w:tcPr>
          <w:p w14:paraId="296B783E" w14:textId="0006ECDB" w:rsidR="006D5107" w:rsidRPr="006D5107" w:rsidRDefault="006D5107" w:rsidP="006D5107">
            <w:pPr>
              <w:jc w:val="center"/>
              <w:rPr>
                <w:rFonts w:cs="Arial"/>
                <w:i/>
                <w:sz w:val="22"/>
                <w:szCs w:val="22"/>
              </w:rPr>
            </w:pPr>
            <w:r w:rsidRPr="006D5107">
              <w:rPr>
                <w:i/>
                <w:color w:val="000000"/>
                <w:sz w:val="22"/>
                <w:szCs w:val="22"/>
              </w:rPr>
              <w:t>562.910.459</w:t>
            </w:r>
          </w:p>
        </w:tc>
        <w:tc>
          <w:tcPr>
            <w:tcW w:w="1236" w:type="pct"/>
            <w:tcBorders>
              <w:top w:val="nil"/>
              <w:left w:val="nil"/>
              <w:bottom w:val="single" w:sz="4" w:space="0" w:color="auto"/>
              <w:right w:val="single" w:sz="4" w:space="0" w:color="auto"/>
            </w:tcBorders>
            <w:shd w:val="clear" w:color="auto" w:fill="auto"/>
            <w:vAlign w:val="center"/>
          </w:tcPr>
          <w:p w14:paraId="1AF0A297" w14:textId="24B93B44" w:rsidR="006D5107" w:rsidRPr="006D5107" w:rsidRDefault="006D5107" w:rsidP="006D5107">
            <w:pPr>
              <w:jc w:val="center"/>
              <w:rPr>
                <w:rFonts w:cs="Arial"/>
                <w:i/>
                <w:sz w:val="22"/>
                <w:szCs w:val="22"/>
              </w:rPr>
            </w:pPr>
            <w:r w:rsidRPr="006D5107">
              <w:rPr>
                <w:i/>
                <w:color w:val="000000"/>
                <w:sz w:val="22"/>
                <w:szCs w:val="22"/>
              </w:rPr>
              <w:t>562.910.459</w:t>
            </w:r>
          </w:p>
        </w:tc>
        <w:tc>
          <w:tcPr>
            <w:tcW w:w="1237" w:type="pct"/>
            <w:tcBorders>
              <w:top w:val="nil"/>
              <w:left w:val="nil"/>
              <w:bottom w:val="single" w:sz="4" w:space="0" w:color="auto"/>
              <w:right w:val="single" w:sz="4" w:space="0" w:color="auto"/>
            </w:tcBorders>
            <w:shd w:val="clear" w:color="auto" w:fill="auto"/>
            <w:vAlign w:val="center"/>
          </w:tcPr>
          <w:p w14:paraId="1C9A39F3" w14:textId="712371E6" w:rsidR="006D5107" w:rsidRPr="006D5107" w:rsidRDefault="006D5107" w:rsidP="006D5107">
            <w:pPr>
              <w:jc w:val="center"/>
              <w:rPr>
                <w:rFonts w:cs="Arial"/>
                <w:i/>
                <w:sz w:val="22"/>
                <w:szCs w:val="22"/>
              </w:rPr>
            </w:pPr>
            <w:r w:rsidRPr="006D5107">
              <w:rPr>
                <w:i/>
                <w:color w:val="000000"/>
                <w:sz w:val="22"/>
                <w:szCs w:val="22"/>
              </w:rPr>
              <w:t>562.910.459</w:t>
            </w:r>
          </w:p>
        </w:tc>
      </w:tr>
      <w:tr w:rsidR="006D5107" w:rsidRPr="006D5107" w14:paraId="103FF691" w14:textId="77777777" w:rsidTr="006D5107">
        <w:trPr>
          <w:trHeight w:val="378"/>
        </w:trPr>
        <w:tc>
          <w:tcPr>
            <w:tcW w:w="1291" w:type="pct"/>
            <w:shd w:val="clear" w:color="auto" w:fill="auto"/>
            <w:vAlign w:val="center"/>
          </w:tcPr>
          <w:p w14:paraId="1E24CBAB" w14:textId="1A76D750" w:rsidR="006D5107" w:rsidRPr="006D5107" w:rsidRDefault="00B11897" w:rsidP="006D5107">
            <w:pPr>
              <w:rPr>
                <w:rFonts w:cs="Arial"/>
                <w:i/>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NoResRSk</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Resk</m:t>
                    </m:r>
                  </m:sub>
                </m:sSub>
              </m:oMath>
            </m:oMathPara>
          </w:p>
        </w:tc>
        <w:tc>
          <w:tcPr>
            <w:tcW w:w="1236" w:type="pct"/>
            <w:tcBorders>
              <w:top w:val="nil"/>
              <w:left w:val="single" w:sz="4" w:space="0" w:color="auto"/>
              <w:bottom w:val="single" w:sz="4" w:space="0" w:color="auto"/>
              <w:right w:val="single" w:sz="4" w:space="0" w:color="auto"/>
            </w:tcBorders>
            <w:shd w:val="clear" w:color="auto" w:fill="auto"/>
            <w:vAlign w:val="center"/>
          </w:tcPr>
          <w:p w14:paraId="04A61AB1" w14:textId="77D575FE" w:rsidR="006D5107" w:rsidRPr="006D5107" w:rsidRDefault="006D5107" w:rsidP="006D5107">
            <w:pPr>
              <w:jc w:val="center"/>
              <w:rPr>
                <w:rFonts w:cs="Arial"/>
                <w:i/>
                <w:sz w:val="22"/>
                <w:szCs w:val="22"/>
              </w:rPr>
            </w:pPr>
            <w:r w:rsidRPr="006D5107">
              <w:rPr>
                <w:i/>
                <w:color w:val="000000"/>
                <w:sz w:val="22"/>
                <w:szCs w:val="22"/>
              </w:rPr>
              <w:t>224.952.504</w:t>
            </w:r>
          </w:p>
        </w:tc>
        <w:tc>
          <w:tcPr>
            <w:tcW w:w="1236" w:type="pct"/>
            <w:tcBorders>
              <w:top w:val="nil"/>
              <w:left w:val="nil"/>
              <w:bottom w:val="single" w:sz="4" w:space="0" w:color="auto"/>
              <w:right w:val="single" w:sz="4" w:space="0" w:color="auto"/>
            </w:tcBorders>
            <w:shd w:val="clear" w:color="auto" w:fill="auto"/>
            <w:vAlign w:val="center"/>
          </w:tcPr>
          <w:p w14:paraId="735ABB49" w14:textId="531C91C6" w:rsidR="006D5107" w:rsidRPr="006D5107" w:rsidRDefault="006D5107" w:rsidP="006D5107">
            <w:pPr>
              <w:jc w:val="center"/>
              <w:rPr>
                <w:rFonts w:cs="Arial"/>
                <w:i/>
                <w:sz w:val="22"/>
                <w:szCs w:val="22"/>
              </w:rPr>
            </w:pPr>
            <w:r w:rsidRPr="006D5107">
              <w:rPr>
                <w:i/>
                <w:color w:val="000000"/>
                <w:sz w:val="22"/>
                <w:szCs w:val="22"/>
              </w:rPr>
              <w:t>224.952.504</w:t>
            </w:r>
          </w:p>
        </w:tc>
        <w:tc>
          <w:tcPr>
            <w:tcW w:w="1237" w:type="pct"/>
            <w:tcBorders>
              <w:top w:val="nil"/>
              <w:left w:val="nil"/>
              <w:bottom w:val="single" w:sz="4" w:space="0" w:color="auto"/>
              <w:right w:val="single" w:sz="4" w:space="0" w:color="auto"/>
            </w:tcBorders>
            <w:shd w:val="clear" w:color="auto" w:fill="auto"/>
            <w:vAlign w:val="center"/>
          </w:tcPr>
          <w:p w14:paraId="7ACFC831" w14:textId="0A11468E" w:rsidR="006D5107" w:rsidRPr="006D5107" w:rsidRDefault="006D5107" w:rsidP="006D5107">
            <w:pPr>
              <w:jc w:val="center"/>
              <w:rPr>
                <w:rFonts w:cs="Arial"/>
                <w:i/>
                <w:sz w:val="22"/>
                <w:szCs w:val="22"/>
              </w:rPr>
            </w:pPr>
            <w:r w:rsidRPr="006D5107">
              <w:rPr>
                <w:i/>
                <w:color w:val="000000"/>
                <w:sz w:val="22"/>
                <w:szCs w:val="22"/>
              </w:rPr>
              <w:t>224.952.504</w:t>
            </w:r>
          </w:p>
        </w:tc>
      </w:tr>
    </w:tbl>
    <w:p w14:paraId="00E2C869" w14:textId="77777777" w:rsidR="009D30F2" w:rsidRPr="006D5107" w:rsidRDefault="009D30F2" w:rsidP="009D30F2">
      <w:pPr>
        <w:rPr>
          <w:rFonts w:cs="Arial"/>
          <w:i/>
          <w:sz w:val="22"/>
          <w:szCs w:val="22"/>
        </w:rPr>
      </w:pPr>
    </w:p>
    <w:tbl>
      <w:tblPr>
        <w:tblW w:w="4701"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172"/>
        <w:gridCol w:w="2172"/>
        <w:gridCol w:w="2174"/>
      </w:tblGrid>
      <w:tr w:rsidR="009D30F2" w:rsidRPr="006D5107" w14:paraId="02F7F3F8" w14:textId="77777777" w:rsidTr="006D5107">
        <w:trPr>
          <w:tblHeader/>
        </w:trPr>
        <w:tc>
          <w:tcPr>
            <w:tcW w:w="5000" w:type="pct"/>
            <w:gridSpan w:val="4"/>
            <w:shd w:val="clear" w:color="auto" w:fill="D9D9D9"/>
            <w:vAlign w:val="center"/>
          </w:tcPr>
          <w:p w14:paraId="172F0C4F" w14:textId="77777777" w:rsidR="009D30F2" w:rsidRPr="006D5107" w:rsidRDefault="009D30F2" w:rsidP="00B3284F">
            <w:pPr>
              <w:jc w:val="center"/>
              <w:rPr>
                <w:rFonts w:cs="Arial"/>
                <w:b/>
                <w:i/>
                <w:sz w:val="22"/>
                <w:szCs w:val="22"/>
              </w:rPr>
            </w:pPr>
            <w:r w:rsidRPr="006D5107">
              <w:rPr>
                <w:rFonts w:cs="Arial"/>
                <w:b/>
                <w:i/>
                <w:sz w:val="22"/>
                <w:szCs w:val="22"/>
              </w:rPr>
              <w:t>Usuarios Diferentes a los de Uso Residencial</w:t>
            </w:r>
          </w:p>
        </w:tc>
      </w:tr>
      <w:tr w:rsidR="009D30F2" w:rsidRPr="006D5107" w14:paraId="62011D0B" w14:textId="77777777" w:rsidTr="006D5107">
        <w:trPr>
          <w:tblHeader/>
        </w:trPr>
        <w:tc>
          <w:tcPr>
            <w:tcW w:w="1291" w:type="pct"/>
            <w:vMerge w:val="restart"/>
            <w:shd w:val="clear" w:color="auto" w:fill="D9D9D9"/>
            <w:vAlign w:val="center"/>
          </w:tcPr>
          <w:p w14:paraId="7D5711B9" w14:textId="77777777" w:rsidR="009D30F2" w:rsidRPr="006D5107" w:rsidRDefault="009D30F2" w:rsidP="00B3284F">
            <w:pPr>
              <w:jc w:val="center"/>
              <w:rPr>
                <w:rFonts w:cs="Arial"/>
                <w:b/>
                <w:i/>
                <w:sz w:val="22"/>
                <w:szCs w:val="22"/>
              </w:rPr>
            </w:pPr>
            <w:r w:rsidRPr="006D5107">
              <w:rPr>
                <w:rFonts w:cs="Arial"/>
                <w:b/>
                <w:i/>
                <w:sz w:val="22"/>
                <w:szCs w:val="22"/>
              </w:rPr>
              <w:t>Variable</w:t>
            </w:r>
          </w:p>
        </w:tc>
        <w:tc>
          <w:tcPr>
            <w:tcW w:w="3709" w:type="pct"/>
            <w:gridSpan w:val="3"/>
            <w:shd w:val="clear" w:color="auto" w:fill="D9D9D9"/>
            <w:vAlign w:val="center"/>
          </w:tcPr>
          <w:p w14:paraId="104FD73E" w14:textId="77777777" w:rsidR="009D30F2" w:rsidRPr="006D5107" w:rsidRDefault="009D30F2" w:rsidP="00B3284F">
            <w:pPr>
              <w:jc w:val="center"/>
              <w:rPr>
                <w:rFonts w:cs="Arial"/>
                <w:b/>
                <w:i/>
                <w:sz w:val="22"/>
                <w:szCs w:val="22"/>
              </w:rPr>
            </w:pPr>
            <w:r w:rsidRPr="006D5107">
              <w:rPr>
                <w:rFonts w:cs="Arial"/>
                <w:b/>
                <w:i/>
                <w:sz w:val="22"/>
                <w:szCs w:val="22"/>
              </w:rPr>
              <w:t>Valor ($31 Dic 2014)</w:t>
            </w:r>
          </w:p>
        </w:tc>
      </w:tr>
      <w:tr w:rsidR="006D5107" w:rsidRPr="006D5107" w14:paraId="2A4E4DF5" w14:textId="77777777" w:rsidTr="006D5107">
        <w:trPr>
          <w:trHeight w:val="119"/>
          <w:tblHeader/>
        </w:trPr>
        <w:tc>
          <w:tcPr>
            <w:tcW w:w="1291" w:type="pct"/>
            <w:vMerge/>
            <w:shd w:val="clear" w:color="auto" w:fill="D9D9D9"/>
            <w:vAlign w:val="center"/>
          </w:tcPr>
          <w:p w14:paraId="5FC41FB0" w14:textId="77777777" w:rsidR="009D30F2" w:rsidRPr="006D5107" w:rsidRDefault="009D30F2" w:rsidP="00B3284F">
            <w:pPr>
              <w:jc w:val="center"/>
              <w:rPr>
                <w:rFonts w:cs="Arial"/>
                <w:i/>
                <w:sz w:val="22"/>
                <w:szCs w:val="22"/>
              </w:rPr>
            </w:pPr>
          </w:p>
        </w:tc>
        <w:tc>
          <w:tcPr>
            <w:tcW w:w="1236" w:type="pct"/>
            <w:shd w:val="clear" w:color="auto" w:fill="D9D9D9"/>
            <w:vAlign w:val="center"/>
          </w:tcPr>
          <w:p w14:paraId="020083F9" w14:textId="77777777" w:rsidR="009D30F2" w:rsidRPr="006D5107" w:rsidRDefault="009D30F2" w:rsidP="00B3284F">
            <w:pPr>
              <w:jc w:val="center"/>
              <w:rPr>
                <w:rFonts w:cs="Arial"/>
                <w:b/>
                <w:i/>
                <w:sz w:val="22"/>
                <w:szCs w:val="22"/>
              </w:rPr>
            </w:pPr>
            <w:r w:rsidRPr="006D5107">
              <w:rPr>
                <w:rFonts w:cs="Arial"/>
                <w:b/>
                <w:i/>
                <w:sz w:val="22"/>
                <w:szCs w:val="22"/>
              </w:rPr>
              <w:t>2017</w:t>
            </w:r>
          </w:p>
        </w:tc>
        <w:tc>
          <w:tcPr>
            <w:tcW w:w="1236" w:type="pct"/>
            <w:shd w:val="clear" w:color="auto" w:fill="D9D9D9"/>
            <w:vAlign w:val="center"/>
          </w:tcPr>
          <w:p w14:paraId="68D3A38C" w14:textId="77777777" w:rsidR="009D30F2" w:rsidRPr="006D5107" w:rsidRDefault="009D30F2" w:rsidP="00B3284F">
            <w:pPr>
              <w:jc w:val="center"/>
              <w:rPr>
                <w:rFonts w:cs="Arial"/>
                <w:b/>
                <w:i/>
                <w:sz w:val="22"/>
                <w:szCs w:val="22"/>
              </w:rPr>
            </w:pPr>
            <w:r w:rsidRPr="006D5107">
              <w:rPr>
                <w:rFonts w:cs="Arial"/>
                <w:b/>
                <w:i/>
                <w:sz w:val="22"/>
                <w:szCs w:val="22"/>
              </w:rPr>
              <w:t>2018</w:t>
            </w:r>
          </w:p>
        </w:tc>
        <w:tc>
          <w:tcPr>
            <w:tcW w:w="1237" w:type="pct"/>
            <w:shd w:val="clear" w:color="auto" w:fill="D9D9D9"/>
            <w:vAlign w:val="center"/>
          </w:tcPr>
          <w:p w14:paraId="1A3625A1" w14:textId="77777777" w:rsidR="009D30F2" w:rsidRPr="006D5107" w:rsidRDefault="009D30F2" w:rsidP="00B3284F">
            <w:pPr>
              <w:jc w:val="center"/>
              <w:rPr>
                <w:rFonts w:cs="Arial"/>
                <w:b/>
                <w:i/>
                <w:sz w:val="22"/>
                <w:szCs w:val="22"/>
              </w:rPr>
            </w:pPr>
            <w:r w:rsidRPr="006D5107">
              <w:rPr>
                <w:rFonts w:cs="Arial"/>
                <w:b/>
                <w:i/>
                <w:sz w:val="22"/>
                <w:szCs w:val="22"/>
              </w:rPr>
              <w:t>2019 – 2020 - 2021</w:t>
            </w:r>
          </w:p>
        </w:tc>
      </w:tr>
      <w:tr w:rsidR="006D5107" w:rsidRPr="006D5107" w14:paraId="09488E73" w14:textId="77777777" w:rsidTr="006D5107">
        <w:trPr>
          <w:trHeight w:val="378"/>
        </w:trPr>
        <w:tc>
          <w:tcPr>
            <w:tcW w:w="1291" w:type="pct"/>
            <w:shd w:val="clear" w:color="auto" w:fill="auto"/>
            <w:vAlign w:val="center"/>
          </w:tcPr>
          <w:p w14:paraId="191179E3" w14:textId="65B9FEC2" w:rsidR="006D5107" w:rsidRPr="006D5107" w:rsidRDefault="00B11897" w:rsidP="006D5107">
            <w:pPr>
              <w:rPr>
                <w:rFonts w:cs="Arial"/>
                <w:i/>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AOM</m:t>
                    </m:r>
                  </m:e>
                  <m:sub>
                    <m:r>
                      <w:rPr>
                        <w:rFonts w:ascii="Cambria Math" w:hAnsi="Cambria Math" w:cs="Arial"/>
                        <w:sz w:val="22"/>
                        <w:szCs w:val="22"/>
                      </w:rPr>
                      <m:t>RPk</m:t>
                    </m:r>
                  </m:sub>
                </m:sSub>
              </m:oMath>
            </m:oMathPara>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14:paraId="4E7DB0B0" w14:textId="403B0057" w:rsidR="006D5107" w:rsidRPr="006D5107" w:rsidRDefault="006D5107" w:rsidP="006D5107">
            <w:pPr>
              <w:jc w:val="center"/>
              <w:rPr>
                <w:rFonts w:cs="Arial"/>
                <w:i/>
                <w:sz w:val="22"/>
                <w:szCs w:val="22"/>
              </w:rPr>
            </w:pPr>
            <w:r w:rsidRPr="006D5107">
              <w:rPr>
                <w:i/>
                <w:color w:val="000000"/>
                <w:sz w:val="22"/>
                <w:szCs w:val="22"/>
              </w:rPr>
              <w:t>19.002.794.660</w:t>
            </w:r>
          </w:p>
        </w:tc>
        <w:tc>
          <w:tcPr>
            <w:tcW w:w="1236" w:type="pct"/>
            <w:tcBorders>
              <w:top w:val="single" w:sz="4" w:space="0" w:color="auto"/>
              <w:left w:val="nil"/>
              <w:bottom w:val="single" w:sz="4" w:space="0" w:color="auto"/>
              <w:right w:val="single" w:sz="4" w:space="0" w:color="auto"/>
            </w:tcBorders>
            <w:shd w:val="clear" w:color="auto" w:fill="auto"/>
            <w:vAlign w:val="center"/>
          </w:tcPr>
          <w:p w14:paraId="46F024C2" w14:textId="3288D4E9" w:rsidR="006D5107" w:rsidRPr="006D5107" w:rsidRDefault="006D5107" w:rsidP="006D5107">
            <w:pPr>
              <w:jc w:val="center"/>
              <w:rPr>
                <w:rFonts w:cs="Arial"/>
                <w:i/>
                <w:sz w:val="22"/>
                <w:szCs w:val="22"/>
              </w:rPr>
            </w:pPr>
            <w:r w:rsidRPr="006D5107">
              <w:rPr>
                <w:i/>
                <w:color w:val="000000"/>
                <w:sz w:val="22"/>
                <w:szCs w:val="22"/>
              </w:rPr>
              <w:t>19.002.794.660</w:t>
            </w:r>
          </w:p>
        </w:tc>
        <w:tc>
          <w:tcPr>
            <w:tcW w:w="1236" w:type="pct"/>
            <w:tcBorders>
              <w:top w:val="single" w:sz="4" w:space="0" w:color="auto"/>
              <w:left w:val="nil"/>
              <w:bottom w:val="single" w:sz="4" w:space="0" w:color="auto"/>
              <w:right w:val="single" w:sz="4" w:space="0" w:color="auto"/>
            </w:tcBorders>
            <w:shd w:val="clear" w:color="auto" w:fill="auto"/>
            <w:vAlign w:val="center"/>
          </w:tcPr>
          <w:p w14:paraId="05BEF1A2" w14:textId="465CB72D" w:rsidR="006D5107" w:rsidRPr="006D5107" w:rsidRDefault="006D5107" w:rsidP="006D5107">
            <w:pPr>
              <w:jc w:val="center"/>
              <w:rPr>
                <w:rFonts w:cs="Arial"/>
                <w:i/>
                <w:sz w:val="22"/>
                <w:szCs w:val="22"/>
              </w:rPr>
            </w:pPr>
            <w:r w:rsidRPr="006D5107">
              <w:rPr>
                <w:i/>
                <w:color w:val="000000"/>
                <w:sz w:val="22"/>
                <w:szCs w:val="22"/>
              </w:rPr>
              <w:t>19.002.794.660</w:t>
            </w:r>
          </w:p>
        </w:tc>
      </w:tr>
      <w:tr w:rsidR="006D5107" w:rsidRPr="006D5107" w14:paraId="65EDC1E1" w14:textId="77777777" w:rsidTr="006D5107">
        <w:trPr>
          <w:trHeight w:val="378"/>
        </w:trPr>
        <w:tc>
          <w:tcPr>
            <w:tcW w:w="1291" w:type="pct"/>
            <w:shd w:val="clear" w:color="auto" w:fill="auto"/>
            <w:vAlign w:val="center"/>
          </w:tcPr>
          <w:p w14:paraId="3F8D86E7" w14:textId="7D5225CD" w:rsidR="006D5107" w:rsidRPr="006D5107" w:rsidRDefault="00B11897" w:rsidP="006D5107">
            <w:pPr>
              <w:rPr>
                <w:rFonts w:cs="Arial"/>
                <w:i/>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AOM</m:t>
                    </m:r>
                  </m:e>
                  <m:sub>
                    <m:r>
                      <w:rPr>
                        <w:rFonts w:ascii="Cambria Math" w:hAnsi="Cambria Math" w:cs="Arial"/>
                        <w:sz w:val="22"/>
                        <w:szCs w:val="22"/>
                      </w:rPr>
                      <m:t>RS(NoRes)k</m:t>
                    </m:r>
                  </m:sub>
                </m:sSub>
              </m:oMath>
            </m:oMathPara>
          </w:p>
        </w:tc>
        <w:tc>
          <w:tcPr>
            <w:tcW w:w="1236" w:type="pct"/>
            <w:tcBorders>
              <w:top w:val="nil"/>
              <w:left w:val="single" w:sz="4" w:space="0" w:color="auto"/>
              <w:bottom w:val="single" w:sz="4" w:space="0" w:color="auto"/>
              <w:right w:val="single" w:sz="4" w:space="0" w:color="auto"/>
            </w:tcBorders>
            <w:shd w:val="clear" w:color="auto" w:fill="auto"/>
            <w:vAlign w:val="center"/>
          </w:tcPr>
          <w:p w14:paraId="337D1D71" w14:textId="6DEC0C97" w:rsidR="006D5107" w:rsidRPr="006D5107" w:rsidRDefault="006D5107" w:rsidP="006D5107">
            <w:pPr>
              <w:jc w:val="center"/>
              <w:rPr>
                <w:rFonts w:cs="Arial"/>
                <w:i/>
                <w:sz w:val="22"/>
                <w:szCs w:val="22"/>
              </w:rPr>
            </w:pPr>
            <w:r w:rsidRPr="006D5107">
              <w:rPr>
                <w:i/>
                <w:color w:val="000000"/>
                <w:sz w:val="22"/>
                <w:szCs w:val="22"/>
              </w:rPr>
              <w:t>11.711.113.618</w:t>
            </w:r>
          </w:p>
        </w:tc>
        <w:tc>
          <w:tcPr>
            <w:tcW w:w="1236" w:type="pct"/>
            <w:tcBorders>
              <w:top w:val="nil"/>
              <w:left w:val="nil"/>
              <w:bottom w:val="single" w:sz="4" w:space="0" w:color="auto"/>
              <w:right w:val="single" w:sz="4" w:space="0" w:color="auto"/>
            </w:tcBorders>
            <w:shd w:val="clear" w:color="auto" w:fill="auto"/>
            <w:vAlign w:val="center"/>
          </w:tcPr>
          <w:p w14:paraId="61DF4380" w14:textId="13ABF57E" w:rsidR="006D5107" w:rsidRPr="006D5107" w:rsidRDefault="006D5107" w:rsidP="006D5107">
            <w:pPr>
              <w:jc w:val="center"/>
              <w:rPr>
                <w:rFonts w:cs="Arial"/>
                <w:i/>
                <w:sz w:val="22"/>
                <w:szCs w:val="22"/>
              </w:rPr>
            </w:pPr>
            <w:r w:rsidRPr="006D5107">
              <w:rPr>
                <w:i/>
                <w:color w:val="000000"/>
                <w:sz w:val="22"/>
                <w:szCs w:val="22"/>
              </w:rPr>
              <w:t>11.711.113.618</w:t>
            </w:r>
          </w:p>
        </w:tc>
        <w:tc>
          <w:tcPr>
            <w:tcW w:w="1237" w:type="pct"/>
            <w:tcBorders>
              <w:top w:val="nil"/>
              <w:left w:val="nil"/>
              <w:bottom w:val="single" w:sz="4" w:space="0" w:color="auto"/>
              <w:right w:val="single" w:sz="4" w:space="0" w:color="auto"/>
            </w:tcBorders>
            <w:shd w:val="clear" w:color="auto" w:fill="auto"/>
            <w:vAlign w:val="center"/>
          </w:tcPr>
          <w:p w14:paraId="4D2D8254" w14:textId="46F5A755" w:rsidR="006D5107" w:rsidRPr="006D5107" w:rsidRDefault="006D5107" w:rsidP="006D5107">
            <w:pPr>
              <w:jc w:val="center"/>
              <w:rPr>
                <w:rFonts w:cs="Arial"/>
                <w:i/>
                <w:sz w:val="22"/>
                <w:szCs w:val="22"/>
              </w:rPr>
            </w:pPr>
            <w:r w:rsidRPr="006D5107">
              <w:rPr>
                <w:i/>
                <w:color w:val="000000"/>
                <w:sz w:val="22"/>
                <w:szCs w:val="22"/>
              </w:rPr>
              <w:t>11.711.113.618</w:t>
            </w:r>
          </w:p>
        </w:tc>
      </w:tr>
      <w:tr w:rsidR="006D5107" w:rsidRPr="006D5107" w14:paraId="640ED9A2" w14:textId="77777777" w:rsidTr="006D5107">
        <w:trPr>
          <w:trHeight w:val="378"/>
        </w:trPr>
        <w:tc>
          <w:tcPr>
            <w:tcW w:w="1291" w:type="pct"/>
            <w:shd w:val="clear" w:color="auto" w:fill="auto"/>
            <w:vAlign w:val="center"/>
          </w:tcPr>
          <w:p w14:paraId="6D33CE1F" w14:textId="46678615" w:rsidR="006D5107" w:rsidRPr="006D5107" w:rsidRDefault="00B11897" w:rsidP="006D5107">
            <w:pPr>
              <w:rPr>
                <w:rFonts w:cs="Arial"/>
                <w:i/>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Tk</m:t>
                    </m:r>
                  </m:sub>
                </m:sSub>
              </m:oMath>
            </m:oMathPara>
          </w:p>
        </w:tc>
        <w:tc>
          <w:tcPr>
            <w:tcW w:w="1236" w:type="pct"/>
            <w:tcBorders>
              <w:top w:val="nil"/>
              <w:left w:val="single" w:sz="4" w:space="0" w:color="auto"/>
              <w:bottom w:val="single" w:sz="4" w:space="0" w:color="auto"/>
              <w:right w:val="single" w:sz="4" w:space="0" w:color="auto"/>
            </w:tcBorders>
            <w:shd w:val="clear" w:color="auto" w:fill="auto"/>
            <w:vAlign w:val="center"/>
          </w:tcPr>
          <w:p w14:paraId="77775EFD" w14:textId="5921496F" w:rsidR="006D5107" w:rsidRPr="006D5107" w:rsidRDefault="006D5107" w:rsidP="006D5107">
            <w:pPr>
              <w:jc w:val="center"/>
              <w:rPr>
                <w:rFonts w:cs="Arial"/>
                <w:i/>
                <w:sz w:val="22"/>
                <w:szCs w:val="22"/>
              </w:rPr>
            </w:pPr>
            <w:r w:rsidRPr="006D5107">
              <w:rPr>
                <w:i/>
                <w:color w:val="000000"/>
                <w:sz w:val="22"/>
                <w:szCs w:val="22"/>
              </w:rPr>
              <w:t>562.910.459</w:t>
            </w:r>
          </w:p>
        </w:tc>
        <w:tc>
          <w:tcPr>
            <w:tcW w:w="1236" w:type="pct"/>
            <w:tcBorders>
              <w:top w:val="nil"/>
              <w:left w:val="nil"/>
              <w:bottom w:val="single" w:sz="4" w:space="0" w:color="auto"/>
              <w:right w:val="single" w:sz="4" w:space="0" w:color="auto"/>
            </w:tcBorders>
            <w:shd w:val="clear" w:color="auto" w:fill="auto"/>
            <w:vAlign w:val="center"/>
          </w:tcPr>
          <w:p w14:paraId="3984071F" w14:textId="6D0B1431" w:rsidR="006D5107" w:rsidRPr="006D5107" w:rsidRDefault="006D5107" w:rsidP="006D5107">
            <w:pPr>
              <w:jc w:val="center"/>
              <w:rPr>
                <w:rFonts w:cs="Arial"/>
                <w:i/>
                <w:sz w:val="22"/>
                <w:szCs w:val="22"/>
              </w:rPr>
            </w:pPr>
            <w:r w:rsidRPr="006D5107">
              <w:rPr>
                <w:i/>
                <w:color w:val="000000"/>
                <w:sz w:val="22"/>
                <w:szCs w:val="22"/>
              </w:rPr>
              <w:t>562.910.459</w:t>
            </w:r>
          </w:p>
        </w:tc>
        <w:tc>
          <w:tcPr>
            <w:tcW w:w="1237" w:type="pct"/>
            <w:tcBorders>
              <w:top w:val="nil"/>
              <w:left w:val="nil"/>
              <w:bottom w:val="single" w:sz="4" w:space="0" w:color="auto"/>
              <w:right w:val="single" w:sz="4" w:space="0" w:color="auto"/>
            </w:tcBorders>
            <w:shd w:val="clear" w:color="auto" w:fill="auto"/>
            <w:vAlign w:val="center"/>
          </w:tcPr>
          <w:p w14:paraId="191209CE" w14:textId="5D129914" w:rsidR="006D5107" w:rsidRPr="006D5107" w:rsidRDefault="006D5107" w:rsidP="006D5107">
            <w:pPr>
              <w:jc w:val="center"/>
              <w:rPr>
                <w:rFonts w:cs="Arial"/>
                <w:i/>
                <w:sz w:val="22"/>
                <w:szCs w:val="22"/>
              </w:rPr>
            </w:pPr>
            <w:r w:rsidRPr="006D5107">
              <w:rPr>
                <w:i/>
                <w:color w:val="000000"/>
                <w:sz w:val="22"/>
                <w:szCs w:val="22"/>
              </w:rPr>
              <w:t>562.910.459</w:t>
            </w:r>
          </w:p>
        </w:tc>
      </w:tr>
      <w:tr w:rsidR="006D5107" w:rsidRPr="006D5107" w14:paraId="51FA2451" w14:textId="77777777" w:rsidTr="006D5107">
        <w:trPr>
          <w:trHeight w:val="378"/>
        </w:trPr>
        <w:tc>
          <w:tcPr>
            <w:tcW w:w="1291" w:type="pct"/>
            <w:shd w:val="clear" w:color="auto" w:fill="auto"/>
            <w:vAlign w:val="center"/>
          </w:tcPr>
          <w:p w14:paraId="28C005BA" w14:textId="7AEC2444" w:rsidR="006D5107" w:rsidRPr="006D5107" w:rsidRDefault="00B11897" w:rsidP="006D5107">
            <w:pPr>
              <w:rPr>
                <w:rFonts w:cs="Arial"/>
                <w:i/>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Tk</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Resk</m:t>
                    </m:r>
                  </m:sub>
                </m:sSub>
              </m:oMath>
            </m:oMathPara>
          </w:p>
        </w:tc>
        <w:tc>
          <w:tcPr>
            <w:tcW w:w="1236" w:type="pct"/>
            <w:tcBorders>
              <w:top w:val="nil"/>
              <w:left w:val="single" w:sz="4" w:space="0" w:color="auto"/>
              <w:bottom w:val="single" w:sz="4" w:space="0" w:color="auto"/>
              <w:right w:val="single" w:sz="4" w:space="0" w:color="auto"/>
            </w:tcBorders>
            <w:shd w:val="clear" w:color="auto" w:fill="auto"/>
            <w:vAlign w:val="center"/>
          </w:tcPr>
          <w:p w14:paraId="69A87D4B" w14:textId="2D878915" w:rsidR="006D5107" w:rsidRPr="006D5107" w:rsidRDefault="006D5107" w:rsidP="006D5107">
            <w:pPr>
              <w:jc w:val="center"/>
              <w:rPr>
                <w:rFonts w:cs="Arial"/>
                <w:i/>
                <w:sz w:val="22"/>
                <w:szCs w:val="22"/>
              </w:rPr>
            </w:pPr>
            <w:r w:rsidRPr="006D5107">
              <w:rPr>
                <w:i/>
                <w:color w:val="000000"/>
                <w:sz w:val="22"/>
                <w:szCs w:val="22"/>
              </w:rPr>
              <w:t>417.824.137</w:t>
            </w:r>
          </w:p>
        </w:tc>
        <w:tc>
          <w:tcPr>
            <w:tcW w:w="1236" w:type="pct"/>
            <w:tcBorders>
              <w:top w:val="nil"/>
              <w:left w:val="nil"/>
              <w:bottom w:val="single" w:sz="4" w:space="0" w:color="auto"/>
              <w:right w:val="single" w:sz="4" w:space="0" w:color="auto"/>
            </w:tcBorders>
            <w:shd w:val="clear" w:color="auto" w:fill="auto"/>
            <w:vAlign w:val="center"/>
          </w:tcPr>
          <w:p w14:paraId="7FDBA672" w14:textId="43A2A4EC" w:rsidR="006D5107" w:rsidRPr="006D5107" w:rsidRDefault="006D5107" w:rsidP="006D5107">
            <w:pPr>
              <w:jc w:val="center"/>
              <w:rPr>
                <w:rFonts w:cs="Arial"/>
                <w:i/>
                <w:sz w:val="22"/>
                <w:szCs w:val="22"/>
              </w:rPr>
            </w:pPr>
            <w:r w:rsidRPr="006D5107">
              <w:rPr>
                <w:i/>
                <w:color w:val="000000"/>
                <w:sz w:val="22"/>
                <w:szCs w:val="22"/>
              </w:rPr>
              <w:t>417.824.137</w:t>
            </w:r>
          </w:p>
        </w:tc>
        <w:tc>
          <w:tcPr>
            <w:tcW w:w="1237" w:type="pct"/>
            <w:tcBorders>
              <w:top w:val="nil"/>
              <w:left w:val="nil"/>
              <w:bottom w:val="single" w:sz="4" w:space="0" w:color="auto"/>
              <w:right w:val="single" w:sz="4" w:space="0" w:color="auto"/>
            </w:tcBorders>
            <w:shd w:val="clear" w:color="auto" w:fill="auto"/>
            <w:vAlign w:val="center"/>
          </w:tcPr>
          <w:p w14:paraId="288D5B73" w14:textId="519DD7B6" w:rsidR="006D5107" w:rsidRPr="006D5107" w:rsidRDefault="006D5107" w:rsidP="006D5107">
            <w:pPr>
              <w:jc w:val="center"/>
              <w:rPr>
                <w:rFonts w:cs="Arial"/>
                <w:i/>
                <w:sz w:val="22"/>
                <w:szCs w:val="22"/>
              </w:rPr>
            </w:pPr>
            <w:r w:rsidRPr="006D5107">
              <w:rPr>
                <w:i/>
                <w:color w:val="000000"/>
                <w:sz w:val="22"/>
                <w:szCs w:val="22"/>
              </w:rPr>
              <w:t>417.824.137</w:t>
            </w:r>
          </w:p>
        </w:tc>
      </w:tr>
    </w:tbl>
    <w:p w14:paraId="6F4BE97D" w14:textId="560DFAA8" w:rsidR="00CF3FD0" w:rsidRDefault="00CF3FD0" w:rsidP="00FE3DA0">
      <w:pPr>
        <w:tabs>
          <w:tab w:val="left" w:pos="0"/>
          <w:tab w:val="left" w:pos="993"/>
        </w:tabs>
        <w:autoSpaceDE w:val="0"/>
        <w:autoSpaceDN w:val="0"/>
        <w:adjustRightInd w:val="0"/>
        <w:spacing w:before="240" w:after="240"/>
        <w:ind w:left="-142"/>
        <w:rPr>
          <w:rFonts w:cs="Arial"/>
        </w:rPr>
      </w:pPr>
      <w:r>
        <w:rPr>
          <w:rFonts w:eastAsia="Calibri" w:cs="Century Gothic"/>
          <w:b/>
          <w:lang w:eastAsia="es-CO"/>
        </w:rPr>
        <w:t>ARTÍCULO 3</w:t>
      </w:r>
      <w:r w:rsidRPr="00636742">
        <w:rPr>
          <w:rFonts w:eastAsia="Calibri" w:cs="Century Gothic"/>
          <w:b/>
          <w:lang w:eastAsia="es-CO"/>
        </w:rPr>
        <w:t xml:space="preserve">. </w:t>
      </w:r>
      <w:r>
        <w:rPr>
          <w:rFonts w:eastAsia="Calibri" w:cs="Century Gothic"/>
          <w:lang w:eastAsia="es-CO"/>
        </w:rPr>
        <w:t>Modificar el A</w:t>
      </w:r>
      <w:r w:rsidRPr="00636742">
        <w:rPr>
          <w:rFonts w:eastAsia="Calibri" w:cs="Century Gothic"/>
          <w:lang w:eastAsia="es-CO"/>
        </w:rPr>
        <w:t>rtículo</w:t>
      </w:r>
      <w:r>
        <w:rPr>
          <w:rFonts w:eastAsia="Calibri" w:cs="Century Gothic"/>
          <w:lang w:eastAsia="es-CO"/>
        </w:rPr>
        <w:t xml:space="preserve"> </w:t>
      </w:r>
      <w:r w:rsidR="00FE3DA0">
        <w:rPr>
          <w:rFonts w:eastAsia="Calibri" w:cs="Century Gothic"/>
          <w:lang w:eastAsia="es-CO"/>
        </w:rPr>
        <w:t>5</w:t>
      </w:r>
      <w:r w:rsidRPr="00636742">
        <w:rPr>
          <w:rFonts w:eastAsia="Calibri" w:cs="Century Gothic"/>
          <w:lang w:eastAsia="es-CO"/>
        </w:rPr>
        <w:t xml:space="preserve"> “</w:t>
      </w:r>
      <w:r w:rsidRPr="001D7F36">
        <w:rPr>
          <w:rFonts w:cs="Arial"/>
        </w:rPr>
        <w:t>Cargo</w:t>
      </w:r>
      <w:r w:rsidR="00FE3DA0">
        <w:rPr>
          <w:rFonts w:cs="Arial"/>
        </w:rPr>
        <w:t>s</w:t>
      </w:r>
      <w:r w:rsidRPr="001D7F36">
        <w:rPr>
          <w:rFonts w:cs="Arial"/>
        </w:rPr>
        <w:t xml:space="preserve"> de distribución aplicable</w:t>
      </w:r>
      <w:r w:rsidR="00FE3DA0">
        <w:rPr>
          <w:rFonts w:cs="Arial"/>
        </w:rPr>
        <w:t>s</w:t>
      </w:r>
      <w:r w:rsidRPr="001D7F36">
        <w:rPr>
          <w:rFonts w:cs="Arial"/>
        </w:rPr>
        <w:t xml:space="preserve"> a los usuarios de Uso Residencial</w:t>
      </w:r>
      <w:r>
        <w:rPr>
          <w:rFonts w:cs="Arial"/>
        </w:rPr>
        <w:t>” de la Resolución CR</w:t>
      </w:r>
      <w:r w:rsidR="00FE3DA0">
        <w:rPr>
          <w:rFonts w:cs="Arial"/>
        </w:rPr>
        <w:t>EG 198 de 2017</w:t>
      </w:r>
      <w:r>
        <w:rPr>
          <w:rFonts w:cs="Arial"/>
        </w:rPr>
        <w:t>, el cual quedará así:</w:t>
      </w:r>
    </w:p>
    <w:p w14:paraId="63855C41" w14:textId="2656DB90" w:rsidR="00FE3DA0" w:rsidRPr="00FE3DA0" w:rsidRDefault="00FE3DA0" w:rsidP="00FE3DA0">
      <w:pPr>
        <w:widowControl w:val="0"/>
        <w:adjustRightInd w:val="0"/>
        <w:spacing w:before="240" w:after="240"/>
        <w:ind w:left="284" w:right="284"/>
        <w:rPr>
          <w:rFonts w:cs="Arial"/>
          <w:i/>
          <w:sz w:val="22"/>
          <w:szCs w:val="22"/>
        </w:rPr>
      </w:pPr>
      <w:r w:rsidRPr="00FE3DA0">
        <w:rPr>
          <w:rFonts w:cs="Arial"/>
          <w:b/>
          <w:i/>
          <w:sz w:val="22"/>
          <w:szCs w:val="22"/>
        </w:rPr>
        <w:t>“ARTÍCULO 5. Cargos de distribución aplicables a los usuarios de Uso Residencial.</w:t>
      </w:r>
      <w:r w:rsidRPr="00FE3DA0">
        <w:rPr>
          <w:rFonts w:cs="Arial"/>
          <w:i/>
          <w:sz w:val="22"/>
          <w:szCs w:val="22"/>
        </w:rPr>
        <w:t xml:space="preserve"> A partir de la vigencia de la presente Resolución, los cargos de distribución aplicables a los usuarios de uso residencial en el mercado relevante definido en el artículo 1 de la presente resolución para recuperar los costos de inversión y los gastos de AOM para la distribución domiciliaria de gas combustible por red se fijan transitoriamente tal como se indica a continuación:</w:t>
      </w:r>
    </w:p>
    <w:tbl>
      <w:tblPr>
        <w:tblW w:w="470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849"/>
        <w:gridCol w:w="1511"/>
        <w:gridCol w:w="1511"/>
        <w:gridCol w:w="1513"/>
      </w:tblGrid>
      <w:tr w:rsidR="00FE3DA0" w:rsidRPr="00201849" w14:paraId="0B91B178" w14:textId="77777777" w:rsidTr="00FE3DA0">
        <w:trPr>
          <w:trHeight w:val="122"/>
        </w:trPr>
        <w:tc>
          <w:tcPr>
            <w:tcW w:w="5000" w:type="pct"/>
            <w:gridSpan w:val="5"/>
            <w:shd w:val="clear" w:color="auto" w:fill="D9D9D9" w:themeFill="background1" w:themeFillShade="D9"/>
            <w:vAlign w:val="center"/>
          </w:tcPr>
          <w:p w14:paraId="0E311224" w14:textId="77777777" w:rsidR="00FE3DA0" w:rsidRPr="00201849" w:rsidRDefault="00FE3DA0" w:rsidP="00B3284F">
            <w:pPr>
              <w:ind w:left="-115"/>
              <w:jc w:val="center"/>
              <w:rPr>
                <w:b/>
                <w:i/>
                <w:sz w:val="22"/>
                <w:szCs w:val="22"/>
              </w:rPr>
            </w:pPr>
            <w:r w:rsidRPr="00201849">
              <w:rPr>
                <w:b/>
                <w:i/>
                <w:sz w:val="22"/>
                <w:szCs w:val="22"/>
              </w:rPr>
              <w:t>Usuarios de Uso Residencial</w:t>
            </w:r>
          </w:p>
        </w:tc>
      </w:tr>
      <w:tr w:rsidR="00FE3DA0" w:rsidRPr="00201849" w14:paraId="6A06A6D9" w14:textId="77777777" w:rsidTr="00201849">
        <w:trPr>
          <w:trHeight w:val="119"/>
        </w:trPr>
        <w:tc>
          <w:tcPr>
            <w:tcW w:w="1936" w:type="pct"/>
            <w:shd w:val="clear" w:color="auto" w:fill="D9D9D9" w:themeFill="background1" w:themeFillShade="D9"/>
            <w:vAlign w:val="center"/>
          </w:tcPr>
          <w:p w14:paraId="6F51F985" w14:textId="77777777" w:rsidR="00FE3DA0" w:rsidRPr="00201849" w:rsidRDefault="00FE3DA0" w:rsidP="00B3284F">
            <w:pPr>
              <w:jc w:val="center"/>
              <w:rPr>
                <w:i/>
                <w:sz w:val="22"/>
                <w:szCs w:val="22"/>
              </w:rPr>
            </w:pPr>
            <w:r w:rsidRPr="00201849">
              <w:rPr>
                <w:rFonts w:cs="Arial"/>
                <w:b/>
                <w:bCs/>
                <w:i/>
                <w:sz w:val="22"/>
                <w:szCs w:val="22"/>
                <w:lang w:val="es-ES_tradnl"/>
              </w:rPr>
              <w:t>Componente</w:t>
            </w:r>
          </w:p>
        </w:tc>
        <w:tc>
          <w:tcPr>
            <w:tcW w:w="483" w:type="pct"/>
            <w:shd w:val="clear" w:color="auto" w:fill="D9D9D9" w:themeFill="background1" w:themeFillShade="D9"/>
          </w:tcPr>
          <w:p w14:paraId="36DE549C" w14:textId="77777777" w:rsidR="00FE3DA0" w:rsidRPr="00201849" w:rsidRDefault="00FE3DA0" w:rsidP="00B3284F">
            <w:pPr>
              <w:ind w:left="-112"/>
              <w:jc w:val="center"/>
              <w:rPr>
                <w:b/>
                <w:i/>
                <w:sz w:val="22"/>
                <w:szCs w:val="22"/>
              </w:rPr>
            </w:pPr>
          </w:p>
        </w:tc>
        <w:tc>
          <w:tcPr>
            <w:tcW w:w="860" w:type="pct"/>
            <w:shd w:val="clear" w:color="auto" w:fill="D9D9D9" w:themeFill="background1" w:themeFillShade="D9"/>
            <w:vAlign w:val="center"/>
          </w:tcPr>
          <w:p w14:paraId="0A60B0BA" w14:textId="77777777" w:rsidR="00FE3DA0" w:rsidRPr="00201849" w:rsidRDefault="00FE3DA0" w:rsidP="00B3284F">
            <w:pPr>
              <w:ind w:left="-112"/>
              <w:jc w:val="center"/>
              <w:rPr>
                <w:b/>
                <w:i/>
                <w:sz w:val="22"/>
                <w:szCs w:val="22"/>
              </w:rPr>
            </w:pPr>
            <w:r w:rsidRPr="00201849">
              <w:rPr>
                <w:b/>
                <w:i/>
                <w:sz w:val="22"/>
                <w:szCs w:val="22"/>
              </w:rPr>
              <w:t>2017</w:t>
            </w:r>
          </w:p>
        </w:tc>
        <w:tc>
          <w:tcPr>
            <w:tcW w:w="860" w:type="pct"/>
            <w:shd w:val="clear" w:color="auto" w:fill="D9D9D9" w:themeFill="background1" w:themeFillShade="D9"/>
            <w:vAlign w:val="center"/>
          </w:tcPr>
          <w:p w14:paraId="3A68910F" w14:textId="77777777" w:rsidR="00FE3DA0" w:rsidRPr="00201849" w:rsidRDefault="00FE3DA0" w:rsidP="00B3284F">
            <w:pPr>
              <w:ind w:left="-112"/>
              <w:jc w:val="center"/>
              <w:rPr>
                <w:b/>
                <w:i/>
                <w:sz w:val="22"/>
                <w:szCs w:val="22"/>
              </w:rPr>
            </w:pPr>
            <w:r w:rsidRPr="00201849">
              <w:rPr>
                <w:b/>
                <w:i/>
                <w:sz w:val="22"/>
                <w:szCs w:val="22"/>
              </w:rPr>
              <w:t>2018</w:t>
            </w:r>
          </w:p>
        </w:tc>
        <w:tc>
          <w:tcPr>
            <w:tcW w:w="861" w:type="pct"/>
            <w:shd w:val="clear" w:color="auto" w:fill="D9D9D9" w:themeFill="background1" w:themeFillShade="D9"/>
            <w:vAlign w:val="center"/>
          </w:tcPr>
          <w:p w14:paraId="5891BCD9" w14:textId="77777777" w:rsidR="00FE3DA0" w:rsidRPr="00201849" w:rsidRDefault="00FE3DA0" w:rsidP="00B3284F">
            <w:pPr>
              <w:ind w:left="-18"/>
              <w:jc w:val="center"/>
              <w:rPr>
                <w:b/>
                <w:i/>
                <w:sz w:val="22"/>
                <w:szCs w:val="22"/>
              </w:rPr>
            </w:pPr>
            <w:r w:rsidRPr="00201849">
              <w:rPr>
                <w:b/>
                <w:i/>
                <w:sz w:val="22"/>
                <w:szCs w:val="22"/>
              </w:rPr>
              <w:t>2019 - 2020 - 2021</w:t>
            </w:r>
          </w:p>
        </w:tc>
      </w:tr>
      <w:tr w:rsidR="00FE3DA0" w:rsidRPr="00201849" w14:paraId="275F2B2B" w14:textId="77777777" w:rsidTr="00201849">
        <w:trPr>
          <w:trHeight w:val="421"/>
        </w:trPr>
        <w:tc>
          <w:tcPr>
            <w:tcW w:w="1936" w:type="pct"/>
            <w:vAlign w:val="center"/>
          </w:tcPr>
          <w:p w14:paraId="1C3BC0C1" w14:textId="77777777" w:rsidR="00FE3DA0" w:rsidRPr="00201849" w:rsidRDefault="00FE3DA0" w:rsidP="00B3284F">
            <w:pPr>
              <w:widowControl w:val="0"/>
              <w:adjustRightInd w:val="0"/>
              <w:ind w:right="20"/>
              <w:rPr>
                <w:i/>
                <w:sz w:val="22"/>
                <w:szCs w:val="22"/>
              </w:rPr>
            </w:pPr>
            <w:r w:rsidRPr="00201849">
              <w:rPr>
                <w:rFonts w:cs="Arial"/>
                <w:b/>
                <w:i/>
                <w:sz w:val="22"/>
                <w:szCs w:val="22"/>
                <w:lang w:val="es-ES_tradnl"/>
              </w:rPr>
              <w:t>Cargo de distribución Total</w:t>
            </w:r>
          </w:p>
        </w:tc>
        <w:tc>
          <w:tcPr>
            <w:tcW w:w="483" w:type="pct"/>
            <w:vAlign w:val="center"/>
          </w:tcPr>
          <w:p w14:paraId="3B5E717F" w14:textId="77777777" w:rsidR="00FE3DA0" w:rsidRPr="00201849" w:rsidRDefault="00FE3DA0" w:rsidP="00B3284F">
            <w:pPr>
              <w:ind w:left="43"/>
              <w:rPr>
                <w:i/>
                <w:sz w:val="22"/>
                <w:szCs w:val="22"/>
              </w:rPr>
            </w:pPr>
            <w:r w:rsidRPr="00201849">
              <w:rPr>
                <w:rFonts w:cs="Arial"/>
                <w:b/>
                <w:bCs/>
                <w:i/>
                <w:sz w:val="22"/>
                <w:szCs w:val="22"/>
                <w:lang w:val="es-ES_tradnl"/>
              </w:rPr>
              <w:t>$/m</w:t>
            </w:r>
            <w:r w:rsidRPr="00201849">
              <w:rPr>
                <w:rFonts w:cs="Arial"/>
                <w:b/>
                <w:bCs/>
                <w:i/>
                <w:sz w:val="22"/>
                <w:szCs w:val="22"/>
                <w:vertAlign w:val="superscript"/>
                <w:lang w:val="es-ES_tradnl"/>
              </w:rPr>
              <w:t>3</w:t>
            </w:r>
          </w:p>
        </w:tc>
        <w:tc>
          <w:tcPr>
            <w:tcW w:w="860" w:type="pct"/>
            <w:vAlign w:val="center"/>
          </w:tcPr>
          <w:p w14:paraId="3134F69F" w14:textId="3283258E" w:rsidR="00FE3DA0" w:rsidRPr="00201849" w:rsidRDefault="00201849" w:rsidP="00B3284F">
            <w:pPr>
              <w:ind w:left="-108"/>
              <w:jc w:val="center"/>
              <w:rPr>
                <w:b/>
                <w:i/>
                <w:sz w:val="22"/>
                <w:szCs w:val="22"/>
              </w:rPr>
            </w:pPr>
            <w:r w:rsidRPr="00201849">
              <w:rPr>
                <w:b/>
                <w:i/>
                <w:sz w:val="22"/>
                <w:szCs w:val="22"/>
              </w:rPr>
              <w:t>392,30</w:t>
            </w:r>
          </w:p>
        </w:tc>
        <w:tc>
          <w:tcPr>
            <w:tcW w:w="860" w:type="pct"/>
            <w:vAlign w:val="center"/>
          </w:tcPr>
          <w:p w14:paraId="57E5F14D" w14:textId="62B558F2" w:rsidR="00FE3DA0" w:rsidRPr="00201849" w:rsidRDefault="00201849" w:rsidP="00B3284F">
            <w:pPr>
              <w:jc w:val="center"/>
              <w:rPr>
                <w:b/>
                <w:i/>
                <w:sz w:val="22"/>
                <w:szCs w:val="22"/>
              </w:rPr>
            </w:pPr>
            <w:r w:rsidRPr="00201849">
              <w:rPr>
                <w:b/>
                <w:i/>
                <w:sz w:val="22"/>
                <w:szCs w:val="22"/>
              </w:rPr>
              <w:t>395,49</w:t>
            </w:r>
          </w:p>
        </w:tc>
        <w:tc>
          <w:tcPr>
            <w:tcW w:w="861" w:type="pct"/>
            <w:vAlign w:val="center"/>
          </w:tcPr>
          <w:p w14:paraId="2B66F203" w14:textId="76F2D23C" w:rsidR="00FE3DA0" w:rsidRPr="00201849" w:rsidRDefault="00201849" w:rsidP="00B3284F">
            <w:pPr>
              <w:jc w:val="center"/>
              <w:rPr>
                <w:b/>
                <w:i/>
                <w:sz w:val="22"/>
                <w:szCs w:val="22"/>
              </w:rPr>
            </w:pPr>
            <w:r w:rsidRPr="00201849">
              <w:rPr>
                <w:b/>
                <w:i/>
                <w:sz w:val="22"/>
                <w:szCs w:val="22"/>
              </w:rPr>
              <w:t>374,19</w:t>
            </w:r>
          </w:p>
        </w:tc>
      </w:tr>
      <w:tr w:rsidR="00201849" w:rsidRPr="00201849" w14:paraId="16ACED3E" w14:textId="77777777" w:rsidTr="00201849">
        <w:trPr>
          <w:trHeight w:val="421"/>
        </w:trPr>
        <w:tc>
          <w:tcPr>
            <w:tcW w:w="1936" w:type="pct"/>
            <w:vAlign w:val="center"/>
          </w:tcPr>
          <w:p w14:paraId="0907CE71" w14:textId="77777777" w:rsidR="00201849" w:rsidRPr="00201849" w:rsidRDefault="00201849" w:rsidP="00201849">
            <w:pPr>
              <w:pStyle w:val="Prrafodelista"/>
              <w:numPr>
                <w:ilvl w:val="0"/>
                <w:numId w:val="32"/>
              </w:numPr>
              <w:ind w:left="309" w:hanging="284"/>
              <w:jc w:val="left"/>
              <w:rPr>
                <w:i/>
                <w:sz w:val="22"/>
                <w:szCs w:val="22"/>
              </w:rPr>
            </w:pPr>
            <w:r w:rsidRPr="00201849">
              <w:rPr>
                <w:rFonts w:cs="Arial"/>
                <w:i/>
                <w:sz w:val="22"/>
                <w:szCs w:val="22"/>
                <w:lang w:val="es-ES_tradnl"/>
              </w:rPr>
              <w:t xml:space="preserve">Componente de inversión </w:t>
            </w:r>
          </w:p>
        </w:tc>
        <w:tc>
          <w:tcPr>
            <w:tcW w:w="483" w:type="pct"/>
            <w:vAlign w:val="center"/>
          </w:tcPr>
          <w:p w14:paraId="0B8772E9" w14:textId="77777777" w:rsidR="00201849" w:rsidRPr="00201849" w:rsidRDefault="00201849" w:rsidP="00201849">
            <w:pPr>
              <w:ind w:left="43"/>
              <w:rPr>
                <w:i/>
                <w:sz w:val="22"/>
                <w:szCs w:val="22"/>
              </w:rPr>
            </w:pPr>
            <w:r w:rsidRPr="00201849">
              <w:rPr>
                <w:rFonts w:cs="Arial"/>
                <w:bCs/>
                <w:i/>
                <w:sz w:val="22"/>
                <w:szCs w:val="22"/>
                <w:lang w:val="es-ES_tradnl"/>
              </w:rPr>
              <w:t>$/m</w:t>
            </w:r>
            <w:r w:rsidRPr="00201849">
              <w:rPr>
                <w:rFonts w:cs="Arial"/>
                <w:bCs/>
                <w:i/>
                <w:sz w:val="22"/>
                <w:szCs w:val="22"/>
                <w:vertAlign w:val="superscript"/>
                <w:lang w:val="es-ES_tradnl"/>
              </w:rPr>
              <w:t>3</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66500E6A" w14:textId="629257BD" w:rsidR="00201849" w:rsidRPr="00201849" w:rsidRDefault="00201849" w:rsidP="00201849">
            <w:pPr>
              <w:ind w:left="-108"/>
              <w:jc w:val="center"/>
              <w:rPr>
                <w:i/>
                <w:sz w:val="22"/>
                <w:szCs w:val="22"/>
              </w:rPr>
            </w:pPr>
            <w:r w:rsidRPr="00201849">
              <w:rPr>
                <w:i/>
                <w:color w:val="000000"/>
                <w:sz w:val="22"/>
                <w:szCs w:val="22"/>
              </w:rPr>
              <w:t>211,91</w:t>
            </w:r>
          </w:p>
        </w:tc>
        <w:tc>
          <w:tcPr>
            <w:tcW w:w="860" w:type="pct"/>
            <w:tcBorders>
              <w:top w:val="single" w:sz="4" w:space="0" w:color="auto"/>
              <w:left w:val="nil"/>
              <w:bottom w:val="single" w:sz="4" w:space="0" w:color="auto"/>
              <w:right w:val="single" w:sz="4" w:space="0" w:color="auto"/>
            </w:tcBorders>
            <w:shd w:val="clear" w:color="auto" w:fill="auto"/>
            <w:vAlign w:val="center"/>
          </w:tcPr>
          <w:p w14:paraId="2845D412" w14:textId="72F40F29" w:rsidR="00201849" w:rsidRPr="00201849" w:rsidRDefault="00201849" w:rsidP="00201849">
            <w:pPr>
              <w:jc w:val="center"/>
              <w:rPr>
                <w:i/>
                <w:sz w:val="22"/>
                <w:szCs w:val="22"/>
              </w:rPr>
            </w:pPr>
            <w:r w:rsidRPr="00201849">
              <w:rPr>
                <w:i/>
                <w:color w:val="000000"/>
                <w:sz w:val="22"/>
                <w:szCs w:val="22"/>
              </w:rPr>
              <w:t>215,10</w:t>
            </w:r>
          </w:p>
        </w:tc>
        <w:tc>
          <w:tcPr>
            <w:tcW w:w="860" w:type="pct"/>
            <w:tcBorders>
              <w:top w:val="single" w:sz="4" w:space="0" w:color="auto"/>
              <w:left w:val="nil"/>
              <w:bottom w:val="single" w:sz="4" w:space="0" w:color="auto"/>
              <w:right w:val="single" w:sz="4" w:space="0" w:color="auto"/>
            </w:tcBorders>
            <w:shd w:val="clear" w:color="auto" w:fill="auto"/>
            <w:vAlign w:val="center"/>
          </w:tcPr>
          <w:p w14:paraId="19E58F08" w14:textId="6B0A7F42" w:rsidR="00201849" w:rsidRPr="00201849" w:rsidRDefault="00201849" w:rsidP="00201849">
            <w:pPr>
              <w:jc w:val="center"/>
              <w:rPr>
                <w:i/>
                <w:sz w:val="22"/>
                <w:szCs w:val="22"/>
              </w:rPr>
            </w:pPr>
            <w:r w:rsidRPr="00201849">
              <w:rPr>
                <w:i/>
                <w:color w:val="000000"/>
                <w:sz w:val="22"/>
                <w:szCs w:val="22"/>
              </w:rPr>
              <w:t>193,80</w:t>
            </w:r>
          </w:p>
        </w:tc>
      </w:tr>
      <w:tr w:rsidR="00201849" w:rsidRPr="00201849" w14:paraId="798D0B5F" w14:textId="77777777" w:rsidTr="00201849">
        <w:trPr>
          <w:trHeight w:val="421"/>
        </w:trPr>
        <w:tc>
          <w:tcPr>
            <w:tcW w:w="1936" w:type="pct"/>
            <w:vAlign w:val="center"/>
          </w:tcPr>
          <w:p w14:paraId="03161402" w14:textId="77777777" w:rsidR="00201849" w:rsidRPr="00201849" w:rsidRDefault="00201849" w:rsidP="00201849">
            <w:pPr>
              <w:pStyle w:val="Prrafodelista"/>
              <w:numPr>
                <w:ilvl w:val="0"/>
                <w:numId w:val="32"/>
              </w:numPr>
              <w:ind w:left="309" w:hanging="284"/>
              <w:jc w:val="left"/>
              <w:rPr>
                <w:i/>
                <w:sz w:val="22"/>
                <w:szCs w:val="22"/>
              </w:rPr>
            </w:pPr>
            <w:r w:rsidRPr="00201849">
              <w:rPr>
                <w:rFonts w:cs="Arial"/>
                <w:i/>
                <w:sz w:val="22"/>
                <w:szCs w:val="22"/>
                <w:lang w:val="es-ES_tradnl"/>
              </w:rPr>
              <w:t>Componente Gastos AOM</w:t>
            </w:r>
          </w:p>
        </w:tc>
        <w:tc>
          <w:tcPr>
            <w:tcW w:w="483" w:type="pct"/>
            <w:vAlign w:val="center"/>
          </w:tcPr>
          <w:p w14:paraId="010A31D9" w14:textId="77777777" w:rsidR="00201849" w:rsidRPr="00201849" w:rsidRDefault="00201849" w:rsidP="00201849">
            <w:pPr>
              <w:ind w:left="43"/>
              <w:rPr>
                <w:i/>
                <w:sz w:val="22"/>
                <w:szCs w:val="22"/>
              </w:rPr>
            </w:pPr>
            <w:r w:rsidRPr="00201849">
              <w:rPr>
                <w:rFonts w:cs="Arial"/>
                <w:bCs/>
                <w:i/>
                <w:sz w:val="22"/>
                <w:szCs w:val="22"/>
                <w:lang w:val="es-ES_tradnl"/>
              </w:rPr>
              <w:t>$/m</w:t>
            </w:r>
            <w:r w:rsidRPr="00201849">
              <w:rPr>
                <w:rFonts w:cs="Arial"/>
                <w:bCs/>
                <w:i/>
                <w:sz w:val="22"/>
                <w:szCs w:val="22"/>
                <w:vertAlign w:val="superscript"/>
                <w:lang w:val="es-ES_tradnl"/>
              </w:rPr>
              <w:t>3</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7F27103F" w14:textId="7518511A" w:rsidR="00201849" w:rsidRPr="00201849" w:rsidRDefault="00201849" w:rsidP="00201849">
            <w:pPr>
              <w:ind w:left="-108"/>
              <w:jc w:val="center"/>
              <w:rPr>
                <w:i/>
                <w:sz w:val="22"/>
                <w:szCs w:val="22"/>
              </w:rPr>
            </w:pPr>
            <w:r w:rsidRPr="00201849">
              <w:rPr>
                <w:i/>
                <w:color w:val="000000"/>
                <w:sz w:val="22"/>
                <w:szCs w:val="22"/>
              </w:rPr>
              <w:t>180,39</w:t>
            </w:r>
          </w:p>
        </w:tc>
        <w:tc>
          <w:tcPr>
            <w:tcW w:w="860" w:type="pct"/>
            <w:tcBorders>
              <w:top w:val="single" w:sz="4" w:space="0" w:color="auto"/>
              <w:left w:val="nil"/>
              <w:bottom w:val="single" w:sz="4" w:space="0" w:color="auto"/>
              <w:right w:val="single" w:sz="4" w:space="0" w:color="auto"/>
            </w:tcBorders>
            <w:shd w:val="clear" w:color="auto" w:fill="auto"/>
            <w:vAlign w:val="center"/>
          </w:tcPr>
          <w:p w14:paraId="18A73D7D" w14:textId="40EC5A5E" w:rsidR="00201849" w:rsidRPr="00201849" w:rsidRDefault="00201849" w:rsidP="00201849">
            <w:pPr>
              <w:jc w:val="center"/>
              <w:rPr>
                <w:i/>
                <w:sz w:val="22"/>
                <w:szCs w:val="22"/>
              </w:rPr>
            </w:pPr>
            <w:r w:rsidRPr="00201849">
              <w:rPr>
                <w:i/>
                <w:color w:val="000000"/>
                <w:sz w:val="22"/>
                <w:szCs w:val="22"/>
              </w:rPr>
              <w:t>180,39</w:t>
            </w:r>
          </w:p>
        </w:tc>
        <w:tc>
          <w:tcPr>
            <w:tcW w:w="861" w:type="pct"/>
            <w:tcBorders>
              <w:top w:val="single" w:sz="4" w:space="0" w:color="auto"/>
              <w:left w:val="nil"/>
              <w:bottom w:val="single" w:sz="4" w:space="0" w:color="auto"/>
              <w:right w:val="single" w:sz="4" w:space="0" w:color="auto"/>
            </w:tcBorders>
            <w:shd w:val="clear" w:color="auto" w:fill="auto"/>
            <w:vAlign w:val="center"/>
          </w:tcPr>
          <w:p w14:paraId="62EEADC3" w14:textId="46538ECE" w:rsidR="00201849" w:rsidRPr="00201849" w:rsidRDefault="00201849" w:rsidP="00201849">
            <w:pPr>
              <w:jc w:val="center"/>
              <w:rPr>
                <w:i/>
                <w:sz w:val="22"/>
                <w:szCs w:val="22"/>
              </w:rPr>
            </w:pPr>
            <w:r w:rsidRPr="00201849">
              <w:rPr>
                <w:i/>
                <w:color w:val="000000"/>
                <w:sz w:val="22"/>
                <w:szCs w:val="22"/>
              </w:rPr>
              <w:t>180,39</w:t>
            </w:r>
          </w:p>
        </w:tc>
      </w:tr>
    </w:tbl>
    <w:p w14:paraId="32FA2D2E" w14:textId="7DADF089" w:rsidR="00FE3DA0" w:rsidRPr="00201849" w:rsidRDefault="00FE3DA0" w:rsidP="00201849">
      <w:pPr>
        <w:widowControl w:val="0"/>
        <w:adjustRightInd w:val="0"/>
        <w:spacing w:after="240"/>
        <w:ind w:right="20" w:firstLine="284"/>
        <w:rPr>
          <w:rFonts w:cs="Arial"/>
          <w:i/>
          <w:sz w:val="18"/>
          <w:lang w:val="es-CO" w:eastAsia="x-none"/>
        </w:rPr>
      </w:pPr>
      <w:r w:rsidRPr="00201849">
        <w:rPr>
          <w:rFonts w:cs="Arial"/>
          <w:i/>
          <w:sz w:val="18"/>
          <w:lang w:val="x-none" w:eastAsia="x-none"/>
        </w:rPr>
        <w:t>Cifras en pesos del 31 de diciembre de 20</w:t>
      </w:r>
      <w:r w:rsidRPr="00201849">
        <w:rPr>
          <w:rFonts w:cs="Arial"/>
          <w:i/>
          <w:sz w:val="18"/>
          <w:lang w:val="es-CO" w:eastAsia="x-none"/>
        </w:rPr>
        <w:t>14”</w:t>
      </w:r>
    </w:p>
    <w:p w14:paraId="0FD1DA0E" w14:textId="77777777" w:rsidR="001A463B" w:rsidRPr="0064314C" w:rsidRDefault="001A463B" w:rsidP="001A463B">
      <w:pPr>
        <w:tabs>
          <w:tab w:val="left" w:pos="0"/>
          <w:tab w:val="left" w:pos="993"/>
        </w:tabs>
        <w:autoSpaceDE w:val="0"/>
        <w:autoSpaceDN w:val="0"/>
        <w:adjustRightInd w:val="0"/>
        <w:ind w:left="284" w:right="284"/>
        <w:rPr>
          <w:rFonts w:eastAsia="Calibri" w:cs="Century Gothic"/>
          <w:b/>
          <w:i/>
          <w:sz w:val="22"/>
          <w:szCs w:val="22"/>
          <w:lang w:eastAsia="es-CO"/>
        </w:rPr>
      </w:pPr>
      <w:r w:rsidRPr="0064314C">
        <w:rPr>
          <w:rFonts w:cs="Arial"/>
          <w:b/>
          <w:bCs/>
          <w:i/>
          <w:sz w:val="22"/>
          <w:szCs w:val="22"/>
        </w:rPr>
        <w:t>Parágrafo.</w:t>
      </w:r>
      <w:r w:rsidRPr="0064314C">
        <w:rPr>
          <w:rFonts w:cs="Arial"/>
          <w:i/>
          <w:sz w:val="22"/>
          <w:szCs w:val="22"/>
        </w:rPr>
        <w:t xml:space="preserve"> Los Cargos de Distribución del presente artículo se actualizarán de conformidad con lo establecido en el artículo 12 de la Resolución CREG 202 de 2013</w:t>
      </w:r>
      <w:r>
        <w:rPr>
          <w:rFonts w:cs="Arial"/>
          <w:i/>
          <w:sz w:val="22"/>
          <w:szCs w:val="22"/>
        </w:rPr>
        <w:t>, modificado por el artículo 3 de la Resolución CREG 125 de 2015</w:t>
      </w:r>
      <w:r w:rsidRPr="0064314C">
        <w:rPr>
          <w:rFonts w:cs="Arial"/>
          <w:i/>
          <w:sz w:val="22"/>
          <w:szCs w:val="22"/>
        </w:rPr>
        <w:t>”.</w:t>
      </w:r>
    </w:p>
    <w:p w14:paraId="4BCC9CC2" w14:textId="4E378C46" w:rsidR="001A463B" w:rsidRDefault="00CF3FD0" w:rsidP="001A463B">
      <w:pPr>
        <w:widowControl w:val="0"/>
        <w:adjustRightInd w:val="0"/>
        <w:spacing w:before="240" w:after="240"/>
        <w:ind w:left="-142" w:right="-142"/>
        <w:rPr>
          <w:rFonts w:eastAsia="Calibri" w:cs="Century Gothic"/>
          <w:b/>
          <w:lang w:eastAsia="es-CO"/>
        </w:rPr>
      </w:pPr>
      <w:r>
        <w:rPr>
          <w:rFonts w:eastAsia="Calibri" w:cs="Century Gothic"/>
          <w:b/>
          <w:lang w:eastAsia="es-CO"/>
        </w:rPr>
        <w:t>ARTÍCULO 4</w:t>
      </w:r>
      <w:r w:rsidRPr="00636742">
        <w:rPr>
          <w:rFonts w:eastAsia="Calibri" w:cs="Century Gothic"/>
          <w:b/>
          <w:lang w:eastAsia="es-CO"/>
        </w:rPr>
        <w:t xml:space="preserve">. </w:t>
      </w:r>
      <w:r w:rsidR="001A463B">
        <w:rPr>
          <w:rFonts w:eastAsia="Calibri" w:cs="Century Gothic"/>
          <w:lang w:eastAsia="es-CO"/>
        </w:rPr>
        <w:t>Modificar el A</w:t>
      </w:r>
      <w:r w:rsidR="001A463B" w:rsidRPr="00636742">
        <w:rPr>
          <w:rFonts w:eastAsia="Calibri" w:cs="Century Gothic"/>
          <w:lang w:eastAsia="es-CO"/>
        </w:rPr>
        <w:t>rtículo</w:t>
      </w:r>
      <w:r w:rsidR="001A463B">
        <w:rPr>
          <w:rFonts w:eastAsia="Calibri" w:cs="Century Gothic"/>
          <w:lang w:eastAsia="es-CO"/>
        </w:rPr>
        <w:t xml:space="preserve"> 6</w:t>
      </w:r>
      <w:r w:rsidR="001A463B" w:rsidRPr="00636742">
        <w:rPr>
          <w:rFonts w:eastAsia="Calibri" w:cs="Century Gothic"/>
          <w:lang w:eastAsia="es-CO"/>
        </w:rPr>
        <w:t xml:space="preserve"> “</w:t>
      </w:r>
      <w:r w:rsidR="001A463B" w:rsidRPr="001D7F36">
        <w:rPr>
          <w:rFonts w:cs="Arial"/>
        </w:rPr>
        <w:t>Cargo</w:t>
      </w:r>
      <w:r w:rsidR="001A463B">
        <w:rPr>
          <w:rFonts w:cs="Arial"/>
        </w:rPr>
        <w:t>s</w:t>
      </w:r>
      <w:r w:rsidR="001A463B" w:rsidRPr="001D7F36">
        <w:rPr>
          <w:rFonts w:cs="Arial"/>
        </w:rPr>
        <w:t xml:space="preserve"> de distribución aplicable</w:t>
      </w:r>
      <w:r w:rsidR="001A463B">
        <w:rPr>
          <w:rFonts w:cs="Arial"/>
        </w:rPr>
        <w:t>s</w:t>
      </w:r>
      <w:r w:rsidR="001A463B" w:rsidRPr="001D7F36">
        <w:rPr>
          <w:rFonts w:cs="Arial"/>
        </w:rPr>
        <w:t xml:space="preserve"> a los usuarios </w:t>
      </w:r>
      <w:r w:rsidR="001A463B">
        <w:rPr>
          <w:rFonts w:cs="Arial"/>
        </w:rPr>
        <w:t xml:space="preserve">Diferentes </w:t>
      </w:r>
      <w:r w:rsidR="001A463B" w:rsidRPr="001D7F36">
        <w:rPr>
          <w:rFonts w:cs="Arial"/>
        </w:rPr>
        <w:t>de Uso Residencial</w:t>
      </w:r>
      <w:r w:rsidR="001A463B">
        <w:rPr>
          <w:rFonts w:cs="Arial"/>
        </w:rPr>
        <w:t>” de la Resolución CREG 198 de 2017, el cual quedará así:</w:t>
      </w:r>
    </w:p>
    <w:p w14:paraId="1A4F0F0F" w14:textId="0272E365" w:rsidR="001A463B" w:rsidRPr="001A463B" w:rsidRDefault="001A463B" w:rsidP="001A463B">
      <w:pPr>
        <w:widowControl w:val="0"/>
        <w:adjustRightInd w:val="0"/>
        <w:spacing w:before="240" w:after="240"/>
        <w:ind w:left="284" w:right="284"/>
        <w:rPr>
          <w:rFonts w:cs="Arial"/>
          <w:i/>
          <w:sz w:val="22"/>
          <w:szCs w:val="22"/>
        </w:rPr>
      </w:pPr>
      <w:r w:rsidRPr="001A463B">
        <w:rPr>
          <w:rFonts w:cs="Arial"/>
          <w:b/>
          <w:i/>
          <w:sz w:val="22"/>
          <w:szCs w:val="22"/>
        </w:rPr>
        <w:lastRenderedPageBreak/>
        <w:t>“ARTÍCULO 6. Cargos de distribución aplicables a los usuarios Diferentes a los de Uso Residencial.</w:t>
      </w:r>
      <w:r w:rsidRPr="001A463B">
        <w:rPr>
          <w:rFonts w:cs="Arial"/>
          <w:i/>
          <w:sz w:val="22"/>
          <w:szCs w:val="22"/>
        </w:rPr>
        <w:t xml:space="preserve"> A partir de la vigencia de la presente Resolución, los cargos de distribución aplicables a los usuarios diferentes a los de uso residencial en el mercado relevante definido en el artículo 1 de la presente resolución para recuperar los costos de inversión y los gastos de AOM para la distribución domiciliaria de gas combustible por red se fijan transitoriamente tal como se indica a continuación: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850"/>
        <w:gridCol w:w="1512"/>
        <w:gridCol w:w="1512"/>
        <w:gridCol w:w="1512"/>
      </w:tblGrid>
      <w:tr w:rsidR="001A463B" w:rsidRPr="00AD2F46" w14:paraId="633392C7" w14:textId="77777777" w:rsidTr="001A463B">
        <w:trPr>
          <w:tblHeader/>
        </w:trPr>
        <w:tc>
          <w:tcPr>
            <w:tcW w:w="8788" w:type="dxa"/>
            <w:gridSpan w:val="5"/>
            <w:shd w:val="clear" w:color="auto" w:fill="D9D9D9" w:themeFill="background1" w:themeFillShade="D9"/>
          </w:tcPr>
          <w:p w14:paraId="6601840B" w14:textId="77777777" w:rsidR="001A463B" w:rsidRPr="00AD2F46" w:rsidRDefault="001A463B" w:rsidP="00B3284F">
            <w:pPr>
              <w:ind w:left="-115"/>
              <w:jc w:val="center"/>
              <w:rPr>
                <w:b/>
                <w:i/>
                <w:sz w:val="22"/>
                <w:szCs w:val="22"/>
              </w:rPr>
            </w:pPr>
            <w:r w:rsidRPr="00AD2F46">
              <w:rPr>
                <w:b/>
                <w:i/>
                <w:sz w:val="22"/>
                <w:szCs w:val="22"/>
              </w:rPr>
              <w:t>Usuarios Diferentes a los de Uso Residencial</w:t>
            </w:r>
          </w:p>
        </w:tc>
      </w:tr>
      <w:tr w:rsidR="001A463B" w:rsidRPr="00AD2F46" w14:paraId="709F3802" w14:textId="77777777" w:rsidTr="001A463B">
        <w:trPr>
          <w:trHeight w:val="119"/>
          <w:tblHeader/>
        </w:trPr>
        <w:tc>
          <w:tcPr>
            <w:tcW w:w="3402" w:type="dxa"/>
            <w:shd w:val="clear" w:color="auto" w:fill="D9D9D9" w:themeFill="background1" w:themeFillShade="D9"/>
            <w:vAlign w:val="center"/>
          </w:tcPr>
          <w:p w14:paraId="4C92D501" w14:textId="77777777" w:rsidR="001A463B" w:rsidRPr="00AD2F46" w:rsidRDefault="001A463B" w:rsidP="00B3284F">
            <w:pPr>
              <w:jc w:val="center"/>
              <w:rPr>
                <w:i/>
                <w:sz w:val="22"/>
                <w:szCs w:val="22"/>
              </w:rPr>
            </w:pPr>
            <w:r w:rsidRPr="00AD2F46">
              <w:rPr>
                <w:rFonts w:cs="Arial"/>
                <w:b/>
                <w:bCs/>
                <w:i/>
                <w:sz w:val="22"/>
                <w:szCs w:val="22"/>
                <w:lang w:val="es-ES_tradnl"/>
              </w:rPr>
              <w:t>Componente</w:t>
            </w:r>
          </w:p>
        </w:tc>
        <w:tc>
          <w:tcPr>
            <w:tcW w:w="850" w:type="dxa"/>
            <w:shd w:val="clear" w:color="auto" w:fill="D9D9D9" w:themeFill="background1" w:themeFillShade="D9"/>
          </w:tcPr>
          <w:p w14:paraId="380252BE" w14:textId="77777777" w:rsidR="001A463B" w:rsidRPr="00AD2F46" w:rsidRDefault="001A463B" w:rsidP="00B3284F">
            <w:pPr>
              <w:ind w:left="-112"/>
              <w:jc w:val="center"/>
              <w:rPr>
                <w:b/>
                <w:i/>
                <w:sz w:val="22"/>
                <w:szCs w:val="22"/>
              </w:rPr>
            </w:pPr>
          </w:p>
        </w:tc>
        <w:tc>
          <w:tcPr>
            <w:tcW w:w="1512" w:type="dxa"/>
            <w:shd w:val="clear" w:color="auto" w:fill="D9D9D9" w:themeFill="background1" w:themeFillShade="D9"/>
            <w:vAlign w:val="center"/>
          </w:tcPr>
          <w:p w14:paraId="4C2D1286" w14:textId="77777777" w:rsidR="001A463B" w:rsidRPr="00AD2F46" w:rsidRDefault="001A463B" w:rsidP="001A463B">
            <w:pPr>
              <w:ind w:left="-112"/>
              <w:jc w:val="center"/>
              <w:rPr>
                <w:b/>
                <w:i/>
                <w:sz w:val="22"/>
                <w:szCs w:val="22"/>
              </w:rPr>
            </w:pPr>
            <w:r w:rsidRPr="00AD2F46">
              <w:rPr>
                <w:b/>
                <w:i/>
                <w:sz w:val="22"/>
                <w:szCs w:val="22"/>
              </w:rPr>
              <w:t>2017</w:t>
            </w:r>
          </w:p>
        </w:tc>
        <w:tc>
          <w:tcPr>
            <w:tcW w:w="1512" w:type="dxa"/>
            <w:shd w:val="clear" w:color="auto" w:fill="D9D9D9" w:themeFill="background1" w:themeFillShade="D9"/>
            <w:vAlign w:val="center"/>
          </w:tcPr>
          <w:p w14:paraId="782C6DCD" w14:textId="77777777" w:rsidR="001A463B" w:rsidRPr="00AD2F46" w:rsidRDefault="001A463B" w:rsidP="001A463B">
            <w:pPr>
              <w:ind w:left="-112"/>
              <w:jc w:val="center"/>
              <w:rPr>
                <w:b/>
                <w:i/>
                <w:sz w:val="22"/>
                <w:szCs w:val="22"/>
              </w:rPr>
            </w:pPr>
            <w:r w:rsidRPr="00AD2F46">
              <w:rPr>
                <w:b/>
                <w:i/>
                <w:sz w:val="22"/>
                <w:szCs w:val="22"/>
              </w:rPr>
              <w:t>2018</w:t>
            </w:r>
          </w:p>
        </w:tc>
        <w:tc>
          <w:tcPr>
            <w:tcW w:w="1512" w:type="dxa"/>
            <w:shd w:val="clear" w:color="auto" w:fill="D9D9D9" w:themeFill="background1" w:themeFillShade="D9"/>
            <w:vAlign w:val="center"/>
          </w:tcPr>
          <w:p w14:paraId="5B7D4A7B" w14:textId="77777777" w:rsidR="001A463B" w:rsidRPr="00AD2F46" w:rsidRDefault="001A463B" w:rsidP="001A463B">
            <w:pPr>
              <w:ind w:left="-18"/>
              <w:jc w:val="center"/>
              <w:rPr>
                <w:b/>
                <w:i/>
                <w:sz w:val="22"/>
                <w:szCs w:val="22"/>
              </w:rPr>
            </w:pPr>
            <w:r w:rsidRPr="00AD2F46">
              <w:rPr>
                <w:b/>
                <w:i/>
                <w:sz w:val="22"/>
                <w:szCs w:val="22"/>
              </w:rPr>
              <w:t>2019 - 2020 - 2021</w:t>
            </w:r>
          </w:p>
        </w:tc>
      </w:tr>
      <w:tr w:rsidR="001A463B" w:rsidRPr="00AD2F46" w14:paraId="7561D9DE" w14:textId="77777777" w:rsidTr="001A463B">
        <w:trPr>
          <w:trHeight w:val="421"/>
        </w:trPr>
        <w:tc>
          <w:tcPr>
            <w:tcW w:w="3402" w:type="dxa"/>
            <w:vAlign w:val="center"/>
          </w:tcPr>
          <w:p w14:paraId="27349113" w14:textId="77777777" w:rsidR="001A463B" w:rsidRPr="00AD2F46" w:rsidRDefault="001A463B" w:rsidP="00B3284F">
            <w:pPr>
              <w:widowControl w:val="0"/>
              <w:adjustRightInd w:val="0"/>
              <w:ind w:right="20"/>
              <w:rPr>
                <w:i/>
                <w:sz w:val="22"/>
                <w:szCs w:val="22"/>
              </w:rPr>
            </w:pPr>
            <w:r w:rsidRPr="00AD2F46">
              <w:rPr>
                <w:rFonts w:cs="Arial"/>
                <w:b/>
                <w:i/>
                <w:sz w:val="22"/>
                <w:szCs w:val="22"/>
                <w:lang w:val="es-ES_tradnl"/>
              </w:rPr>
              <w:t>Cargo de distribución Total</w:t>
            </w:r>
          </w:p>
        </w:tc>
        <w:tc>
          <w:tcPr>
            <w:tcW w:w="850" w:type="dxa"/>
            <w:vAlign w:val="center"/>
          </w:tcPr>
          <w:p w14:paraId="26AE528E" w14:textId="77777777" w:rsidR="001A463B" w:rsidRPr="00AD2F46" w:rsidRDefault="001A463B" w:rsidP="00B3284F">
            <w:pPr>
              <w:ind w:left="43"/>
              <w:rPr>
                <w:i/>
                <w:sz w:val="22"/>
                <w:szCs w:val="22"/>
              </w:rPr>
            </w:pPr>
            <w:r w:rsidRPr="00AD2F46">
              <w:rPr>
                <w:rFonts w:cs="Arial"/>
                <w:b/>
                <w:bCs/>
                <w:i/>
                <w:sz w:val="22"/>
                <w:szCs w:val="22"/>
                <w:lang w:val="es-ES_tradnl"/>
              </w:rPr>
              <w:t>$/m</w:t>
            </w:r>
            <w:r w:rsidRPr="00AD2F46">
              <w:rPr>
                <w:rFonts w:cs="Arial"/>
                <w:b/>
                <w:bCs/>
                <w:i/>
                <w:sz w:val="22"/>
                <w:szCs w:val="22"/>
                <w:vertAlign w:val="superscript"/>
                <w:lang w:val="es-ES_tradnl"/>
              </w:rPr>
              <w:t>3</w:t>
            </w:r>
          </w:p>
        </w:tc>
        <w:tc>
          <w:tcPr>
            <w:tcW w:w="1512" w:type="dxa"/>
            <w:vAlign w:val="center"/>
          </w:tcPr>
          <w:p w14:paraId="08A1E476" w14:textId="3C7AEEC4" w:rsidR="001A463B" w:rsidRPr="00AD2F46" w:rsidRDefault="00AD2F46" w:rsidP="001A463B">
            <w:pPr>
              <w:ind w:left="-110"/>
              <w:jc w:val="center"/>
              <w:rPr>
                <w:b/>
                <w:i/>
                <w:sz w:val="22"/>
                <w:szCs w:val="22"/>
              </w:rPr>
            </w:pPr>
            <w:r>
              <w:rPr>
                <w:b/>
                <w:i/>
                <w:sz w:val="22"/>
                <w:szCs w:val="22"/>
              </w:rPr>
              <w:t>153,60</w:t>
            </w:r>
          </w:p>
        </w:tc>
        <w:tc>
          <w:tcPr>
            <w:tcW w:w="1512" w:type="dxa"/>
            <w:vAlign w:val="center"/>
          </w:tcPr>
          <w:p w14:paraId="45C6324C" w14:textId="2A54C9B8" w:rsidR="001A463B" w:rsidRPr="00AD2F46" w:rsidRDefault="001A463B" w:rsidP="00AD2F46">
            <w:pPr>
              <w:ind w:left="-110"/>
              <w:jc w:val="center"/>
              <w:rPr>
                <w:b/>
                <w:i/>
                <w:sz w:val="22"/>
                <w:szCs w:val="22"/>
              </w:rPr>
            </w:pPr>
            <w:r w:rsidRPr="00AD2F46">
              <w:rPr>
                <w:b/>
                <w:i/>
                <w:sz w:val="22"/>
                <w:szCs w:val="22"/>
              </w:rPr>
              <w:t>15</w:t>
            </w:r>
            <w:r w:rsidR="00AD2F46">
              <w:rPr>
                <w:b/>
                <w:i/>
                <w:sz w:val="22"/>
                <w:szCs w:val="22"/>
              </w:rPr>
              <w:t>4,98</w:t>
            </w:r>
          </w:p>
        </w:tc>
        <w:tc>
          <w:tcPr>
            <w:tcW w:w="1512" w:type="dxa"/>
            <w:vAlign w:val="center"/>
          </w:tcPr>
          <w:p w14:paraId="5F84669F" w14:textId="47EF80EF" w:rsidR="001A463B" w:rsidRPr="00AD2F46" w:rsidRDefault="00AD2F46" w:rsidP="001A463B">
            <w:pPr>
              <w:ind w:left="-110"/>
              <w:jc w:val="center"/>
              <w:rPr>
                <w:b/>
                <w:i/>
                <w:sz w:val="22"/>
                <w:szCs w:val="22"/>
              </w:rPr>
            </w:pPr>
            <w:r>
              <w:rPr>
                <w:b/>
                <w:i/>
                <w:sz w:val="22"/>
                <w:szCs w:val="22"/>
              </w:rPr>
              <w:t>145,75</w:t>
            </w:r>
          </w:p>
        </w:tc>
      </w:tr>
      <w:tr w:rsidR="00AD2F46" w:rsidRPr="00AD2F46" w14:paraId="03CE676D" w14:textId="77777777" w:rsidTr="00AD2F46">
        <w:trPr>
          <w:trHeight w:val="421"/>
        </w:trPr>
        <w:tc>
          <w:tcPr>
            <w:tcW w:w="3402" w:type="dxa"/>
            <w:vAlign w:val="center"/>
          </w:tcPr>
          <w:p w14:paraId="45F0205F" w14:textId="77777777" w:rsidR="00AD2F46" w:rsidRPr="00AD2F46" w:rsidRDefault="00AD2F46" w:rsidP="00AD2F46">
            <w:pPr>
              <w:pStyle w:val="Prrafodelista"/>
              <w:numPr>
                <w:ilvl w:val="0"/>
                <w:numId w:val="32"/>
              </w:numPr>
              <w:ind w:left="309" w:hanging="309"/>
              <w:jc w:val="left"/>
              <w:rPr>
                <w:i/>
                <w:sz w:val="22"/>
                <w:szCs w:val="22"/>
              </w:rPr>
            </w:pPr>
            <w:r w:rsidRPr="00AD2F46">
              <w:rPr>
                <w:rFonts w:cs="Arial"/>
                <w:i/>
                <w:sz w:val="22"/>
                <w:szCs w:val="22"/>
                <w:lang w:val="es-ES_tradnl"/>
              </w:rPr>
              <w:t xml:space="preserve">Componente de inversión </w:t>
            </w:r>
          </w:p>
        </w:tc>
        <w:tc>
          <w:tcPr>
            <w:tcW w:w="850" w:type="dxa"/>
            <w:vAlign w:val="center"/>
          </w:tcPr>
          <w:p w14:paraId="2816A6C4" w14:textId="77777777" w:rsidR="00AD2F46" w:rsidRPr="00AD2F46" w:rsidRDefault="00AD2F46" w:rsidP="00AD2F46">
            <w:pPr>
              <w:ind w:left="43"/>
              <w:rPr>
                <w:i/>
                <w:sz w:val="22"/>
                <w:szCs w:val="22"/>
              </w:rPr>
            </w:pPr>
            <w:r w:rsidRPr="00AD2F46">
              <w:rPr>
                <w:rFonts w:cs="Arial"/>
                <w:bCs/>
                <w:i/>
                <w:sz w:val="22"/>
                <w:szCs w:val="22"/>
                <w:lang w:val="es-ES_tradnl"/>
              </w:rPr>
              <w:t>$/m</w:t>
            </w:r>
            <w:r w:rsidRPr="00AD2F46">
              <w:rPr>
                <w:rFonts w:cs="Arial"/>
                <w:bCs/>
                <w:i/>
                <w:sz w:val="22"/>
                <w:szCs w:val="22"/>
                <w:vertAlign w:val="superscript"/>
                <w:lang w:val="es-ES_tradnl"/>
              </w:rPr>
              <w:t>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8088745" w14:textId="3A4A882A" w:rsidR="00AD2F46" w:rsidRPr="00AD2F46" w:rsidRDefault="00AD2F46" w:rsidP="00AD2F46">
            <w:pPr>
              <w:ind w:left="-110"/>
              <w:jc w:val="center"/>
              <w:rPr>
                <w:i/>
                <w:sz w:val="22"/>
                <w:szCs w:val="22"/>
              </w:rPr>
            </w:pPr>
            <w:r w:rsidRPr="00AD2F46">
              <w:rPr>
                <w:i/>
                <w:color w:val="000000"/>
                <w:sz w:val="22"/>
                <w:szCs w:val="22"/>
              </w:rPr>
              <w:t>91,81</w:t>
            </w:r>
          </w:p>
        </w:tc>
        <w:tc>
          <w:tcPr>
            <w:tcW w:w="1512" w:type="dxa"/>
            <w:tcBorders>
              <w:top w:val="single" w:sz="4" w:space="0" w:color="auto"/>
              <w:left w:val="nil"/>
              <w:bottom w:val="single" w:sz="4" w:space="0" w:color="auto"/>
              <w:right w:val="single" w:sz="4" w:space="0" w:color="auto"/>
            </w:tcBorders>
            <w:shd w:val="clear" w:color="auto" w:fill="auto"/>
            <w:vAlign w:val="center"/>
          </w:tcPr>
          <w:p w14:paraId="4A3A2248" w14:textId="28668309" w:rsidR="00AD2F46" w:rsidRPr="00AD2F46" w:rsidRDefault="00AD2F46" w:rsidP="00AD2F46">
            <w:pPr>
              <w:ind w:left="-110"/>
              <w:jc w:val="center"/>
              <w:rPr>
                <w:i/>
                <w:sz w:val="22"/>
                <w:szCs w:val="22"/>
              </w:rPr>
            </w:pPr>
            <w:r w:rsidRPr="00AD2F46">
              <w:rPr>
                <w:i/>
                <w:color w:val="000000"/>
                <w:sz w:val="22"/>
                <w:szCs w:val="22"/>
              </w:rPr>
              <w:t>93,19</w:t>
            </w:r>
          </w:p>
        </w:tc>
        <w:tc>
          <w:tcPr>
            <w:tcW w:w="1512" w:type="dxa"/>
            <w:tcBorders>
              <w:top w:val="single" w:sz="4" w:space="0" w:color="auto"/>
              <w:left w:val="nil"/>
              <w:bottom w:val="single" w:sz="4" w:space="0" w:color="auto"/>
              <w:right w:val="single" w:sz="4" w:space="0" w:color="auto"/>
            </w:tcBorders>
            <w:shd w:val="clear" w:color="auto" w:fill="auto"/>
            <w:vAlign w:val="center"/>
          </w:tcPr>
          <w:p w14:paraId="3341F12F" w14:textId="03D0BF81" w:rsidR="00AD2F46" w:rsidRPr="00AD2F46" w:rsidRDefault="00AD2F46" w:rsidP="00AD2F46">
            <w:pPr>
              <w:ind w:left="-110"/>
              <w:jc w:val="center"/>
              <w:rPr>
                <w:i/>
                <w:sz w:val="22"/>
                <w:szCs w:val="22"/>
              </w:rPr>
            </w:pPr>
            <w:r w:rsidRPr="00AD2F46">
              <w:rPr>
                <w:i/>
                <w:color w:val="000000"/>
                <w:sz w:val="22"/>
                <w:szCs w:val="22"/>
              </w:rPr>
              <w:t>83,96</w:t>
            </w:r>
          </w:p>
        </w:tc>
      </w:tr>
      <w:tr w:rsidR="00AD2F46" w:rsidRPr="00AD2F46" w14:paraId="1EC3327A" w14:textId="77777777" w:rsidTr="00AD2F46">
        <w:trPr>
          <w:trHeight w:val="421"/>
        </w:trPr>
        <w:tc>
          <w:tcPr>
            <w:tcW w:w="3402" w:type="dxa"/>
            <w:vAlign w:val="center"/>
          </w:tcPr>
          <w:p w14:paraId="206281CA" w14:textId="77777777" w:rsidR="00AD2F46" w:rsidRPr="00AD2F46" w:rsidRDefault="00AD2F46" w:rsidP="00AD2F46">
            <w:pPr>
              <w:pStyle w:val="Prrafodelista"/>
              <w:numPr>
                <w:ilvl w:val="0"/>
                <w:numId w:val="32"/>
              </w:numPr>
              <w:ind w:left="309" w:hanging="309"/>
              <w:jc w:val="left"/>
              <w:rPr>
                <w:i/>
                <w:sz w:val="22"/>
                <w:szCs w:val="22"/>
              </w:rPr>
            </w:pPr>
            <w:r w:rsidRPr="00AD2F46">
              <w:rPr>
                <w:rFonts w:cs="Arial"/>
                <w:i/>
                <w:sz w:val="22"/>
                <w:szCs w:val="22"/>
                <w:lang w:val="es-ES_tradnl"/>
              </w:rPr>
              <w:t>Componente Gastos AOM</w:t>
            </w:r>
          </w:p>
        </w:tc>
        <w:tc>
          <w:tcPr>
            <w:tcW w:w="850" w:type="dxa"/>
            <w:vAlign w:val="center"/>
          </w:tcPr>
          <w:p w14:paraId="7E19D6E7" w14:textId="77777777" w:rsidR="00AD2F46" w:rsidRPr="00AD2F46" w:rsidRDefault="00AD2F46" w:rsidP="00AD2F46">
            <w:pPr>
              <w:ind w:left="43"/>
              <w:rPr>
                <w:i/>
                <w:sz w:val="22"/>
                <w:szCs w:val="22"/>
              </w:rPr>
            </w:pPr>
            <w:r w:rsidRPr="00AD2F46">
              <w:rPr>
                <w:rFonts w:cs="Arial"/>
                <w:bCs/>
                <w:i/>
                <w:sz w:val="22"/>
                <w:szCs w:val="22"/>
                <w:lang w:val="es-ES_tradnl"/>
              </w:rPr>
              <w:t>$/m</w:t>
            </w:r>
            <w:r w:rsidRPr="00AD2F46">
              <w:rPr>
                <w:rFonts w:cs="Arial"/>
                <w:bCs/>
                <w:i/>
                <w:sz w:val="22"/>
                <w:szCs w:val="22"/>
                <w:vertAlign w:val="superscript"/>
                <w:lang w:val="es-ES_tradnl"/>
              </w:rPr>
              <w:t>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05668C9" w14:textId="4B66AA09" w:rsidR="00AD2F46" w:rsidRPr="00AD2F46" w:rsidRDefault="00AD2F46" w:rsidP="00AD2F46">
            <w:pPr>
              <w:ind w:left="-110"/>
              <w:jc w:val="center"/>
              <w:rPr>
                <w:i/>
                <w:sz w:val="22"/>
                <w:szCs w:val="22"/>
              </w:rPr>
            </w:pPr>
            <w:r w:rsidRPr="00AD2F46">
              <w:rPr>
                <w:i/>
                <w:color w:val="000000"/>
                <w:sz w:val="22"/>
                <w:szCs w:val="22"/>
              </w:rPr>
              <w:t>61,79</w:t>
            </w:r>
          </w:p>
        </w:tc>
        <w:tc>
          <w:tcPr>
            <w:tcW w:w="1512" w:type="dxa"/>
            <w:tcBorders>
              <w:top w:val="single" w:sz="4" w:space="0" w:color="auto"/>
              <w:left w:val="nil"/>
              <w:bottom w:val="single" w:sz="4" w:space="0" w:color="auto"/>
              <w:right w:val="single" w:sz="4" w:space="0" w:color="auto"/>
            </w:tcBorders>
            <w:shd w:val="clear" w:color="auto" w:fill="auto"/>
            <w:vAlign w:val="center"/>
          </w:tcPr>
          <w:p w14:paraId="4DFEAD14" w14:textId="3C95F9E8" w:rsidR="00AD2F46" w:rsidRPr="00AD2F46" w:rsidRDefault="00AD2F46" w:rsidP="00AD2F46">
            <w:pPr>
              <w:ind w:left="-110"/>
              <w:jc w:val="center"/>
              <w:rPr>
                <w:i/>
                <w:sz w:val="22"/>
                <w:szCs w:val="22"/>
              </w:rPr>
            </w:pPr>
            <w:r w:rsidRPr="00AD2F46">
              <w:rPr>
                <w:i/>
                <w:color w:val="000000"/>
                <w:sz w:val="22"/>
                <w:szCs w:val="22"/>
              </w:rPr>
              <w:t>61,79</w:t>
            </w:r>
          </w:p>
        </w:tc>
        <w:tc>
          <w:tcPr>
            <w:tcW w:w="1512" w:type="dxa"/>
            <w:tcBorders>
              <w:top w:val="single" w:sz="4" w:space="0" w:color="auto"/>
              <w:left w:val="nil"/>
              <w:bottom w:val="single" w:sz="4" w:space="0" w:color="auto"/>
              <w:right w:val="single" w:sz="4" w:space="0" w:color="auto"/>
            </w:tcBorders>
            <w:shd w:val="clear" w:color="auto" w:fill="auto"/>
            <w:vAlign w:val="center"/>
          </w:tcPr>
          <w:p w14:paraId="3E42ABBC" w14:textId="60A0FC91" w:rsidR="00AD2F46" w:rsidRPr="00AD2F46" w:rsidRDefault="00AD2F46" w:rsidP="00AD2F46">
            <w:pPr>
              <w:ind w:left="-110"/>
              <w:jc w:val="center"/>
              <w:rPr>
                <w:i/>
                <w:sz w:val="22"/>
                <w:szCs w:val="22"/>
              </w:rPr>
            </w:pPr>
            <w:r w:rsidRPr="00AD2F46">
              <w:rPr>
                <w:i/>
                <w:color w:val="000000"/>
                <w:sz w:val="22"/>
                <w:szCs w:val="22"/>
              </w:rPr>
              <w:t>61,79</w:t>
            </w:r>
          </w:p>
        </w:tc>
      </w:tr>
    </w:tbl>
    <w:p w14:paraId="41742A5E" w14:textId="77777777" w:rsidR="001A463B" w:rsidRPr="00AD2F46" w:rsidRDefault="001A463B" w:rsidP="00AD2F46">
      <w:pPr>
        <w:widowControl w:val="0"/>
        <w:adjustRightInd w:val="0"/>
        <w:spacing w:after="240"/>
        <w:ind w:right="20" w:firstLine="284"/>
        <w:rPr>
          <w:rFonts w:cs="Arial"/>
          <w:i/>
          <w:sz w:val="18"/>
          <w:lang w:val="es-CO" w:eastAsia="x-none"/>
        </w:rPr>
      </w:pPr>
      <w:r w:rsidRPr="00AD2F46">
        <w:rPr>
          <w:rFonts w:cs="Arial"/>
          <w:i/>
          <w:sz w:val="18"/>
          <w:lang w:val="x-none" w:eastAsia="x-none"/>
        </w:rPr>
        <w:t>Cifras en pesos del 31 de diciembre de 20</w:t>
      </w:r>
      <w:r w:rsidRPr="00AD2F46">
        <w:rPr>
          <w:rFonts w:cs="Arial"/>
          <w:i/>
          <w:sz w:val="18"/>
          <w:lang w:val="es-CO" w:eastAsia="x-none"/>
        </w:rPr>
        <w:t>14</w:t>
      </w:r>
    </w:p>
    <w:p w14:paraId="099699B9" w14:textId="335FAE43" w:rsidR="001A463B" w:rsidRPr="0064314C" w:rsidRDefault="001A463B" w:rsidP="001A463B">
      <w:pPr>
        <w:tabs>
          <w:tab w:val="left" w:pos="0"/>
          <w:tab w:val="left" w:pos="993"/>
        </w:tabs>
        <w:autoSpaceDE w:val="0"/>
        <w:autoSpaceDN w:val="0"/>
        <w:adjustRightInd w:val="0"/>
        <w:ind w:left="284" w:right="284"/>
        <w:rPr>
          <w:rFonts w:eastAsia="Calibri" w:cs="Century Gothic"/>
          <w:b/>
          <w:i/>
          <w:sz w:val="22"/>
          <w:szCs w:val="22"/>
          <w:lang w:eastAsia="es-CO"/>
        </w:rPr>
      </w:pPr>
      <w:r w:rsidRPr="0064314C">
        <w:rPr>
          <w:rFonts w:cs="Arial"/>
          <w:b/>
          <w:bCs/>
          <w:i/>
          <w:sz w:val="22"/>
          <w:szCs w:val="22"/>
        </w:rPr>
        <w:t>Parágrafo.</w:t>
      </w:r>
      <w:r w:rsidRPr="0064314C">
        <w:rPr>
          <w:rFonts w:cs="Arial"/>
          <w:i/>
          <w:sz w:val="22"/>
          <w:szCs w:val="22"/>
        </w:rPr>
        <w:t xml:space="preserve"> Los Cargos de Distribución del presente artículo se actualizarán de conformidad con lo establecido en el artículo 12 de la Resolución CREG 202 de 2013</w:t>
      </w:r>
      <w:r>
        <w:rPr>
          <w:rFonts w:cs="Arial"/>
          <w:i/>
          <w:sz w:val="22"/>
          <w:szCs w:val="22"/>
        </w:rPr>
        <w:t>, modificado por el artículo 3 de la Resolución CREG 125 de 2015</w:t>
      </w:r>
      <w:r w:rsidRPr="0064314C">
        <w:rPr>
          <w:rFonts w:cs="Arial"/>
          <w:i/>
          <w:sz w:val="22"/>
          <w:szCs w:val="22"/>
        </w:rPr>
        <w:t>”.</w:t>
      </w:r>
    </w:p>
    <w:p w14:paraId="034F91A0" w14:textId="77777777" w:rsidR="00E34959" w:rsidRDefault="00E34959" w:rsidP="00B2346A">
      <w:pPr>
        <w:tabs>
          <w:tab w:val="left" w:pos="0"/>
        </w:tabs>
        <w:autoSpaceDE w:val="0"/>
        <w:autoSpaceDN w:val="0"/>
        <w:adjustRightInd w:val="0"/>
        <w:ind w:left="-142"/>
        <w:rPr>
          <w:rFonts w:eastAsia="Calibri" w:cs="Century Gothic"/>
          <w:b/>
          <w:lang w:eastAsia="es-CO"/>
        </w:rPr>
      </w:pPr>
    </w:p>
    <w:p w14:paraId="4D87DACB" w14:textId="0DEE2008" w:rsidR="00B2346A" w:rsidRPr="00513896" w:rsidRDefault="00B2346A" w:rsidP="00B2346A">
      <w:pPr>
        <w:tabs>
          <w:tab w:val="left" w:pos="0"/>
        </w:tabs>
        <w:autoSpaceDE w:val="0"/>
        <w:autoSpaceDN w:val="0"/>
        <w:adjustRightInd w:val="0"/>
        <w:ind w:left="-142"/>
        <w:rPr>
          <w:rFonts w:eastAsia="Calibri" w:cs="Century Gothic"/>
          <w:lang w:val="es-CO" w:eastAsia="es-CO"/>
        </w:rPr>
      </w:pPr>
      <w:r>
        <w:rPr>
          <w:rFonts w:eastAsia="Calibri" w:cs="Century Gothic"/>
          <w:b/>
          <w:lang w:eastAsia="es-CO"/>
        </w:rPr>
        <w:t>ARTÍCULO 6</w:t>
      </w:r>
      <w:r w:rsidRPr="00513896">
        <w:rPr>
          <w:rFonts w:eastAsia="Calibri" w:cs="Century Gothic"/>
          <w:lang w:eastAsia="es-CO"/>
        </w:rPr>
        <w:t xml:space="preserve">. </w:t>
      </w:r>
      <w:r w:rsidRPr="00513896">
        <w:rPr>
          <w:rFonts w:eastAsia="Calibri" w:cs="Century Gothic"/>
          <w:lang w:val="es-CO" w:eastAsia="es-CO"/>
        </w:rPr>
        <w:t xml:space="preserve">El cargo aprobado </w:t>
      </w:r>
      <w:r>
        <w:rPr>
          <w:rFonts w:eastAsia="Calibri" w:cs="Century Gothic"/>
          <w:lang w:val="es-CO" w:eastAsia="es-CO"/>
        </w:rPr>
        <w:t>mediante la Resolución CREG 198</w:t>
      </w:r>
      <w:r w:rsidRPr="00513896">
        <w:rPr>
          <w:rFonts w:eastAsia="Calibri" w:cs="Century Gothic"/>
          <w:lang w:val="es-CO" w:eastAsia="es-CO"/>
        </w:rPr>
        <w:t xml:space="preserve"> de 2017 rige a partir de la firmeza del acto administrativo, y será aplicado por la empresa tan pront</w:t>
      </w:r>
      <w:r>
        <w:rPr>
          <w:rFonts w:eastAsia="Calibri" w:cs="Century Gothic"/>
          <w:lang w:val="es-CO" w:eastAsia="es-CO"/>
        </w:rPr>
        <w:t>o de</w:t>
      </w:r>
      <w:r w:rsidRPr="00513896">
        <w:rPr>
          <w:rFonts w:eastAsia="Calibri" w:cs="Century Gothic"/>
          <w:lang w:val="es-CO" w:eastAsia="es-CO"/>
        </w:rPr>
        <w:t xml:space="preserve"> c</w:t>
      </w:r>
      <w:r>
        <w:rPr>
          <w:rFonts w:eastAsia="Calibri" w:cs="Century Gothic"/>
          <w:lang w:val="es-CO" w:eastAsia="es-CO"/>
        </w:rPr>
        <w:t>u</w:t>
      </w:r>
      <w:r w:rsidRPr="00513896">
        <w:rPr>
          <w:rFonts w:eastAsia="Calibri" w:cs="Century Gothic"/>
          <w:lang w:val="es-CO" w:eastAsia="es-CO"/>
        </w:rPr>
        <w:t>mplimiento de los requisitos de publicidad y comunicación a las entidades correspondientes.</w:t>
      </w:r>
    </w:p>
    <w:p w14:paraId="5D94C702" w14:textId="06F711C3" w:rsidR="00CF3FD0" w:rsidRPr="00027053" w:rsidRDefault="00CF3FD0" w:rsidP="008221A6">
      <w:pPr>
        <w:pStyle w:val="Textoindependiente2"/>
        <w:spacing w:before="240" w:after="240" w:line="240" w:lineRule="auto"/>
        <w:ind w:left="-142" w:right="-142"/>
        <w:jc w:val="both"/>
        <w:rPr>
          <w:rFonts w:ascii="Bookman Old Style" w:hAnsi="Bookman Old Style"/>
        </w:rPr>
      </w:pPr>
      <w:r w:rsidRPr="00027053">
        <w:rPr>
          <w:rFonts w:ascii="Bookman Old Style" w:hAnsi="Bookman Old Style"/>
          <w:b/>
        </w:rPr>
        <w:t xml:space="preserve">ARTÍCULO </w:t>
      </w:r>
      <w:r w:rsidR="00B2346A">
        <w:rPr>
          <w:rFonts w:ascii="Bookman Old Style" w:hAnsi="Bookman Old Style"/>
          <w:b/>
        </w:rPr>
        <w:t>7</w:t>
      </w:r>
      <w:r w:rsidRPr="00027053">
        <w:rPr>
          <w:rFonts w:ascii="Bookman Old Style" w:hAnsi="Bookman Old Style"/>
        </w:rPr>
        <w:t>. La presente Resolución deberá notificarse a la</w:t>
      </w:r>
      <w:r w:rsidR="008221A6">
        <w:rPr>
          <w:rFonts w:ascii="Bookman Old Style" w:hAnsi="Bookman Old Style"/>
        </w:rPr>
        <w:t>s</w:t>
      </w:r>
      <w:r w:rsidRPr="00027053">
        <w:rPr>
          <w:rFonts w:ascii="Bookman Old Style" w:hAnsi="Bookman Old Style"/>
        </w:rPr>
        <w:t xml:space="preserve"> empresa</w:t>
      </w:r>
      <w:r w:rsidR="008221A6">
        <w:rPr>
          <w:rFonts w:ascii="Bookman Old Style" w:hAnsi="Bookman Old Style"/>
        </w:rPr>
        <w:t>s</w:t>
      </w:r>
      <w:r w:rsidRPr="00027053">
        <w:rPr>
          <w:rFonts w:ascii="Bookman Old Style" w:hAnsi="Bookman Old Style"/>
        </w:rPr>
        <w:t xml:space="preserve"> </w:t>
      </w:r>
      <w:r w:rsidR="008221A6">
        <w:rPr>
          <w:rFonts w:ascii="Bookman Old Style" w:hAnsi="Bookman Old Style"/>
        </w:rPr>
        <w:t>GASES DEL CARIBE S.A. E.S.P.</w:t>
      </w:r>
      <w:r w:rsidRPr="00027053">
        <w:rPr>
          <w:rFonts w:ascii="Bookman Old Style" w:hAnsi="Bookman Old Style"/>
        </w:rPr>
        <w:t xml:space="preserve"> y </w:t>
      </w:r>
      <w:r w:rsidR="008221A6">
        <w:rPr>
          <w:rFonts w:ascii="Bookman Old Style" w:hAnsi="Bookman Old Style"/>
        </w:rPr>
        <w:t>PROMIGAS S.A. E.S.P.</w:t>
      </w:r>
      <w:r w:rsidRPr="00027053">
        <w:rPr>
          <w:rFonts w:ascii="Bookman Old Style" w:hAnsi="Bookman Old Style"/>
        </w:rPr>
        <w:t xml:space="preserve"> y publicarse en el </w:t>
      </w:r>
      <w:r w:rsidRPr="00027053">
        <w:rPr>
          <w:rFonts w:ascii="Bookman Old Style" w:hAnsi="Bookman Old Style"/>
          <w:i/>
        </w:rPr>
        <w:t>Diario Oficial</w:t>
      </w:r>
      <w:r w:rsidRPr="00027053">
        <w:rPr>
          <w:rFonts w:ascii="Bookman Old Style" w:hAnsi="Bookman Old Style"/>
        </w:rPr>
        <w:t>. Contra las disposiciones contenidas en esta Resolución no procede recurso alguno.</w:t>
      </w:r>
    </w:p>
    <w:p w14:paraId="2E1D4DB6" w14:textId="77777777" w:rsidR="00A82C4A" w:rsidRDefault="00A82C4A" w:rsidP="00A82C4A">
      <w:pPr>
        <w:jc w:val="center"/>
        <w:rPr>
          <w:rFonts w:cs="Arial"/>
          <w:b/>
        </w:rPr>
      </w:pPr>
    </w:p>
    <w:p w14:paraId="7E66A2B7" w14:textId="019E39D5" w:rsidR="001F47D0" w:rsidRPr="008221A6" w:rsidRDefault="001F47D0" w:rsidP="00A82C4A">
      <w:pPr>
        <w:jc w:val="center"/>
        <w:rPr>
          <w:rFonts w:cs="Arial"/>
          <w:b/>
        </w:rPr>
      </w:pPr>
      <w:r w:rsidRPr="008221A6">
        <w:rPr>
          <w:rFonts w:cs="Arial"/>
          <w:b/>
        </w:rPr>
        <w:t>NOTIFÍQUESE, PUBLÍQUESE Y CÚMPLASE,</w:t>
      </w:r>
    </w:p>
    <w:p w14:paraId="0DBB1903" w14:textId="77777777" w:rsidR="00A82C4A" w:rsidRDefault="00A82C4A" w:rsidP="001F47D0">
      <w:pPr>
        <w:rPr>
          <w:rFonts w:cs="Arial"/>
        </w:rPr>
      </w:pPr>
    </w:p>
    <w:p w14:paraId="5B07B994" w14:textId="6AAD1993" w:rsidR="001F47D0" w:rsidRDefault="00934E1F" w:rsidP="001F47D0">
      <w:pPr>
        <w:rPr>
          <w:rFonts w:cs="Arial"/>
        </w:rPr>
      </w:pPr>
      <w:r>
        <w:rPr>
          <w:rFonts w:cs="Arial"/>
        </w:rPr>
        <w:t xml:space="preserve">Dada en Bogotá, </w:t>
      </w:r>
      <w:r w:rsidR="001F47D0" w:rsidRPr="008221A6">
        <w:rPr>
          <w:rFonts w:cs="Arial"/>
        </w:rPr>
        <w:t xml:space="preserve"> </w:t>
      </w:r>
    </w:p>
    <w:p w14:paraId="727A82C1" w14:textId="77777777" w:rsidR="00934E1F" w:rsidRPr="008221A6" w:rsidRDefault="00934E1F" w:rsidP="001F47D0">
      <w:pPr>
        <w:rPr>
          <w:rFonts w:cs="Arial"/>
        </w:rPr>
      </w:pPr>
    </w:p>
    <w:tbl>
      <w:tblPr>
        <w:tblW w:w="0" w:type="auto"/>
        <w:jc w:val="center"/>
        <w:tblCellSpacing w:w="0" w:type="dxa"/>
        <w:tblCellMar>
          <w:left w:w="0" w:type="dxa"/>
          <w:right w:w="0" w:type="dxa"/>
        </w:tblCellMar>
        <w:tblLook w:val="04A0" w:firstRow="1" w:lastRow="0" w:firstColumn="1" w:lastColumn="0" w:noHBand="0" w:noVBand="1"/>
      </w:tblPr>
      <w:tblGrid>
        <w:gridCol w:w="5034"/>
        <w:gridCol w:w="4246"/>
      </w:tblGrid>
      <w:tr w:rsidR="00A82C4A" w:rsidRPr="00517096" w14:paraId="2B7E1C2E" w14:textId="77777777" w:rsidTr="0022291A">
        <w:trPr>
          <w:tblCellSpacing w:w="0" w:type="dxa"/>
          <w:jc w:val="center"/>
        </w:trPr>
        <w:tc>
          <w:tcPr>
            <w:tcW w:w="5034" w:type="dxa"/>
            <w:hideMark/>
          </w:tcPr>
          <w:p w14:paraId="02BEEC25" w14:textId="77777777" w:rsidR="00A82C4A" w:rsidRDefault="00A82C4A" w:rsidP="0022291A">
            <w:pPr>
              <w:ind w:left="-6"/>
              <w:contextualSpacing/>
              <w:jc w:val="center"/>
              <w:rPr>
                <w:b/>
                <w:bCs/>
              </w:rPr>
            </w:pPr>
          </w:p>
          <w:p w14:paraId="1A0BAFC9" w14:textId="77777777" w:rsidR="00A82C4A" w:rsidRDefault="00A82C4A" w:rsidP="0022291A">
            <w:pPr>
              <w:ind w:left="-6"/>
              <w:contextualSpacing/>
              <w:jc w:val="center"/>
              <w:rPr>
                <w:b/>
                <w:bCs/>
              </w:rPr>
            </w:pPr>
          </w:p>
          <w:p w14:paraId="6AFE0348" w14:textId="77777777" w:rsidR="00A82C4A" w:rsidRDefault="00A82C4A" w:rsidP="0022291A">
            <w:pPr>
              <w:ind w:left="-6"/>
              <w:contextualSpacing/>
              <w:jc w:val="center"/>
              <w:rPr>
                <w:b/>
                <w:bCs/>
              </w:rPr>
            </w:pPr>
          </w:p>
          <w:p w14:paraId="2E5325F6" w14:textId="77777777" w:rsidR="00A82C4A" w:rsidRDefault="00A82C4A" w:rsidP="0022291A">
            <w:pPr>
              <w:ind w:left="-6"/>
              <w:contextualSpacing/>
              <w:jc w:val="center"/>
              <w:rPr>
                <w:b/>
                <w:bCs/>
              </w:rPr>
            </w:pPr>
          </w:p>
          <w:p w14:paraId="262836DA" w14:textId="6C4BADB0" w:rsidR="00A82C4A" w:rsidRPr="00517096" w:rsidRDefault="00A82C4A" w:rsidP="0022291A">
            <w:pPr>
              <w:ind w:left="-6"/>
              <w:contextualSpacing/>
              <w:jc w:val="center"/>
              <w:rPr>
                <w:rFonts w:eastAsia="Arial Unicode MS"/>
                <w:b/>
                <w:bCs/>
                <w:color w:val="000000"/>
              </w:rPr>
            </w:pPr>
            <w:r>
              <w:rPr>
                <w:b/>
                <w:bCs/>
              </w:rPr>
              <w:t>ALONSO MAYELO CARDONA DELGADO</w:t>
            </w:r>
          </w:p>
        </w:tc>
        <w:tc>
          <w:tcPr>
            <w:tcW w:w="4246" w:type="dxa"/>
            <w:hideMark/>
          </w:tcPr>
          <w:p w14:paraId="7B3C708C" w14:textId="77777777" w:rsidR="00A82C4A" w:rsidRDefault="00A82C4A" w:rsidP="0022291A">
            <w:pPr>
              <w:ind w:right="-26"/>
              <w:contextualSpacing/>
              <w:jc w:val="center"/>
              <w:rPr>
                <w:rFonts w:cs="Arial"/>
                <w:b/>
                <w:spacing w:val="-3"/>
                <w:szCs w:val="20"/>
              </w:rPr>
            </w:pPr>
          </w:p>
          <w:p w14:paraId="1C54DD74" w14:textId="77777777" w:rsidR="00A82C4A" w:rsidRDefault="00A82C4A" w:rsidP="0022291A">
            <w:pPr>
              <w:ind w:right="-26"/>
              <w:contextualSpacing/>
              <w:jc w:val="center"/>
              <w:rPr>
                <w:rFonts w:cs="Arial"/>
                <w:b/>
                <w:spacing w:val="-3"/>
                <w:szCs w:val="20"/>
              </w:rPr>
            </w:pPr>
          </w:p>
          <w:p w14:paraId="505E96AB" w14:textId="77777777" w:rsidR="00A82C4A" w:rsidRDefault="00A82C4A" w:rsidP="0022291A">
            <w:pPr>
              <w:ind w:right="-26"/>
              <w:contextualSpacing/>
              <w:jc w:val="center"/>
              <w:rPr>
                <w:rFonts w:cs="Arial"/>
                <w:b/>
                <w:spacing w:val="-3"/>
                <w:szCs w:val="20"/>
              </w:rPr>
            </w:pPr>
          </w:p>
          <w:p w14:paraId="113EA05F" w14:textId="77777777" w:rsidR="00A82C4A" w:rsidRDefault="00A82C4A" w:rsidP="0022291A">
            <w:pPr>
              <w:ind w:right="-26"/>
              <w:contextualSpacing/>
              <w:jc w:val="center"/>
              <w:rPr>
                <w:rFonts w:cs="Arial"/>
                <w:b/>
                <w:spacing w:val="-3"/>
                <w:szCs w:val="20"/>
              </w:rPr>
            </w:pPr>
          </w:p>
          <w:p w14:paraId="6FCD2129" w14:textId="1C8E1169" w:rsidR="00A82C4A" w:rsidRPr="00517096" w:rsidRDefault="00A82C4A" w:rsidP="0022291A">
            <w:pPr>
              <w:ind w:right="-26"/>
              <w:contextualSpacing/>
              <w:jc w:val="center"/>
              <w:rPr>
                <w:rFonts w:eastAsia="Arial Unicode MS"/>
                <w:b/>
                <w:bCs/>
              </w:rPr>
            </w:pPr>
            <w:r>
              <w:rPr>
                <w:rFonts w:cs="Arial"/>
                <w:b/>
                <w:spacing w:val="-3"/>
                <w:szCs w:val="20"/>
              </w:rPr>
              <w:t>GERMÁN CASTRO FERREIRA</w:t>
            </w:r>
          </w:p>
        </w:tc>
      </w:tr>
      <w:tr w:rsidR="00A82C4A" w:rsidRPr="00517096" w14:paraId="7E03BDF4" w14:textId="77777777" w:rsidTr="0022291A">
        <w:trPr>
          <w:tblCellSpacing w:w="0" w:type="dxa"/>
          <w:jc w:val="center"/>
        </w:trPr>
        <w:tc>
          <w:tcPr>
            <w:tcW w:w="5034" w:type="dxa"/>
            <w:hideMark/>
          </w:tcPr>
          <w:p w14:paraId="200BD4F9" w14:textId="77777777" w:rsidR="00A82C4A" w:rsidRDefault="00A82C4A" w:rsidP="0022291A">
            <w:pPr>
              <w:ind w:left="-26"/>
              <w:contextualSpacing/>
              <w:jc w:val="center"/>
              <w:rPr>
                <w:rFonts w:cs="Arial"/>
                <w:szCs w:val="27"/>
              </w:rPr>
            </w:pPr>
            <w:r>
              <w:rPr>
                <w:rFonts w:cs="Arial"/>
                <w:szCs w:val="27"/>
              </w:rPr>
              <w:t>Vicem</w:t>
            </w:r>
            <w:r w:rsidRPr="00517096">
              <w:rPr>
                <w:rFonts w:cs="Arial"/>
                <w:szCs w:val="27"/>
              </w:rPr>
              <w:t>inistr</w:t>
            </w:r>
            <w:r>
              <w:rPr>
                <w:rFonts w:cs="Arial"/>
                <w:szCs w:val="27"/>
              </w:rPr>
              <w:t>o</w:t>
            </w:r>
            <w:r w:rsidRPr="00517096">
              <w:rPr>
                <w:rFonts w:cs="Arial"/>
                <w:szCs w:val="27"/>
              </w:rPr>
              <w:t xml:space="preserve"> de Energía</w:t>
            </w:r>
            <w:r>
              <w:rPr>
                <w:rFonts w:cs="Arial"/>
                <w:szCs w:val="27"/>
              </w:rPr>
              <w:t xml:space="preserve"> </w:t>
            </w:r>
          </w:p>
          <w:p w14:paraId="00F61A25" w14:textId="77777777" w:rsidR="00A82C4A" w:rsidRPr="00517096" w:rsidRDefault="00A82C4A" w:rsidP="0022291A">
            <w:pPr>
              <w:ind w:left="-26"/>
              <w:contextualSpacing/>
              <w:jc w:val="center"/>
              <w:rPr>
                <w:rFonts w:eastAsia="Arial Unicode MS" w:cs="Arial"/>
                <w:color w:val="000000"/>
              </w:rPr>
            </w:pPr>
            <w:r>
              <w:rPr>
                <w:rFonts w:cs="Arial"/>
                <w:szCs w:val="27"/>
              </w:rPr>
              <w:t>Delegado del Ministro de Minas y Energía</w:t>
            </w:r>
          </w:p>
        </w:tc>
        <w:tc>
          <w:tcPr>
            <w:tcW w:w="4246" w:type="dxa"/>
            <w:hideMark/>
          </w:tcPr>
          <w:p w14:paraId="7C55AE11" w14:textId="77777777" w:rsidR="00A82C4A" w:rsidRPr="00517096" w:rsidRDefault="00A82C4A" w:rsidP="0022291A">
            <w:pPr>
              <w:contextualSpacing/>
              <w:jc w:val="center"/>
              <w:rPr>
                <w:rFonts w:eastAsia="Arial Unicode MS" w:cs="Arial"/>
                <w:color w:val="000000"/>
              </w:rPr>
            </w:pPr>
            <w:r w:rsidRPr="00517096">
              <w:rPr>
                <w:rFonts w:cs="Arial"/>
                <w:szCs w:val="27"/>
              </w:rPr>
              <w:t>Director Ejecutivo</w:t>
            </w:r>
          </w:p>
        </w:tc>
      </w:tr>
      <w:tr w:rsidR="00A82C4A" w:rsidRPr="00517096" w14:paraId="11D6E6A4" w14:textId="77777777" w:rsidTr="0022291A">
        <w:trPr>
          <w:tblCellSpacing w:w="0" w:type="dxa"/>
          <w:jc w:val="center"/>
        </w:trPr>
        <w:tc>
          <w:tcPr>
            <w:tcW w:w="5034" w:type="dxa"/>
            <w:hideMark/>
          </w:tcPr>
          <w:p w14:paraId="709B4814" w14:textId="77777777" w:rsidR="00A82C4A" w:rsidRPr="00517096" w:rsidRDefault="00A82C4A" w:rsidP="0022291A">
            <w:pPr>
              <w:ind w:left="-26"/>
              <w:contextualSpacing/>
              <w:jc w:val="center"/>
              <w:rPr>
                <w:rFonts w:eastAsia="Arial Unicode MS" w:cs="Arial"/>
                <w:color w:val="000000"/>
              </w:rPr>
            </w:pPr>
            <w:r w:rsidRPr="00517096">
              <w:rPr>
                <w:rFonts w:cs="Arial"/>
                <w:szCs w:val="27"/>
              </w:rPr>
              <w:t>Presidente</w:t>
            </w:r>
          </w:p>
        </w:tc>
        <w:tc>
          <w:tcPr>
            <w:tcW w:w="4246" w:type="dxa"/>
            <w:hideMark/>
          </w:tcPr>
          <w:p w14:paraId="10290CA6" w14:textId="77777777" w:rsidR="00A82C4A" w:rsidRPr="00517096" w:rsidRDefault="00A82C4A" w:rsidP="0022291A">
            <w:pPr>
              <w:contextualSpacing/>
              <w:jc w:val="center"/>
              <w:rPr>
                <w:rFonts w:eastAsia="Arial Unicode MS" w:cs="Arial"/>
                <w:color w:val="000000"/>
              </w:rPr>
            </w:pPr>
            <w:r w:rsidRPr="00517096">
              <w:rPr>
                <w:rFonts w:cs="Arial"/>
                <w:noProof/>
                <w:lang w:val="es-CO" w:eastAsia="es-CO"/>
              </w:rPr>
              <w:drawing>
                <wp:inline distT="0" distB="0" distL="0" distR="0" wp14:anchorId="7C5AED1A" wp14:editId="4747023E">
                  <wp:extent cx="9525" cy="9525"/>
                  <wp:effectExtent l="0" t="0" r="0" b="0"/>
                  <wp:docPr id="5" name="Imagen 5" descr="Descripción: 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cbla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54F6E65" w14:textId="77777777" w:rsidR="000074D5" w:rsidRPr="00D70A0B" w:rsidRDefault="000074D5" w:rsidP="008221A6">
      <w:pPr>
        <w:ind w:left="-142"/>
        <w:jc w:val="center"/>
        <w:rPr>
          <w:rFonts w:cs="Arial"/>
          <w:sz w:val="22"/>
          <w:szCs w:val="22"/>
          <w:lang w:val="es-ES_tradnl"/>
        </w:rPr>
      </w:pPr>
    </w:p>
    <w:sectPr w:rsidR="000074D5" w:rsidRPr="00D70A0B" w:rsidSect="00EC2ABD">
      <w:headerReference w:type="default" r:id="rId11"/>
      <w:headerReference w:type="first" r:id="rId12"/>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BEC98" w14:textId="77777777" w:rsidR="002C4E48" w:rsidRDefault="002C4E48" w:rsidP="00262CBF">
      <w:r>
        <w:separator/>
      </w:r>
    </w:p>
  </w:endnote>
  <w:endnote w:type="continuationSeparator" w:id="0">
    <w:p w14:paraId="10D758A1" w14:textId="77777777" w:rsidR="002C4E48" w:rsidRDefault="002C4E48" w:rsidP="0026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A8E3D" w14:textId="77777777" w:rsidR="002C4E48" w:rsidRDefault="002C4E48" w:rsidP="00262CBF">
      <w:r>
        <w:separator/>
      </w:r>
    </w:p>
  </w:footnote>
  <w:footnote w:type="continuationSeparator" w:id="0">
    <w:p w14:paraId="7988A32D" w14:textId="77777777" w:rsidR="002C4E48" w:rsidRDefault="002C4E48" w:rsidP="00262C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4C7A4" w14:textId="77777777" w:rsidR="00CA2685" w:rsidRDefault="00CA2685" w:rsidP="00262CBF">
    <w:pPr>
      <w:pStyle w:val="Ttulo1"/>
    </w:pPr>
  </w:p>
  <w:p w14:paraId="65FB8DDB" w14:textId="027FFDB3" w:rsidR="00CA2685" w:rsidRPr="00A157E2" w:rsidRDefault="00CA2685" w:rsidP="00262CBF">
    <w:pPr>
      <w:pStyle w:val="Ttulo1"/>
      <w:rPr>
        <w:rFonts w:ascii="Bookman Old Style" w:hAnsi="Bookman Old Style"/>
        <w:b w:val="0"/>
        <w:sz w:val="22"/>
      </w:rPr>
    </w:pPr>
    <w:r w:rsidRPr="00A157E2">
      <w:rPr>
        <w:rFonts w:ascii="Bookman Old Style" w:hAnsi="Bookman Old Style"/>
        <w:b w:val="0"/>
        <w:sz w:val="22"/>
      </w:rPr>
      <w:t>RESOLUCIÓN No.  __________________</w:t>
    </w:r>
    <w:r w:rsidRPr="00A157E2">
      <w:rPr>
        <w:rFonts w:ascii="Bookman Old Style" w:hAnsi="Bookman Old Style"/>
        <w:b w:val="0"/>
        <w:sz w:val="22"/>
      </w:rPr>
      <w:tab/>
      <w:t>DE ______________________</w:t>
    </w:r>
    <w:r w:rsidRPr="00A157E2">
      <w:rPr>
        <w:rFonts w:ascii="Bookman Old Style" w:hAnsi="Bookman Old Style"/>
        <w:b w:val="0"/>
        <w:sz w:val="22"/>
      </w:rPr>
      <w:tab/>
      <w:t xml:space="preserve">HOJA No. </w:t>
    </w:r>
    <w:r w:rsidRPr="00A157E2">
      <w:rPr>
        <w:rFonts w:ascii="Bookman Old Style" w:hAnsi="Bookman Old Style"/>
        <w:b w:val="0"/>
        <w:sz w:val="22"/>
      </w:rPr>
      <w:fldChar w:fldCharType="begin"/>
    </w:r>
    <w:r w:rsidRPr="00A157E2">
      <w:rPr>
        <w:rFonts w:ascii="Bookman Old Style" w:hAnsi="Bookman Old Style"/>
        <w:b w:val="0"/>
        <w:sz w:val="22"/>
      </w:rPr>
      <w:instrText xml:space="preserve"> PAGE   \* MERGEFORMAT </w:instrText>
    </w:r>
    <w:r w:rsidRPr="00A157E2">
      <w:rPr>
        <w:rFonts w:ascii="Bookman Old Style" w:hAnsi="Bookman Old Style"/>
        <w:b w:val="0"/>
        <w:sz w:val="22"/>
      </w:rPr>
      <w:fldChar w:fldCharType="separate"/>
    </w:r>
    <w:r w:rsidR="00B11897">
      <w:rPr>
        <w:rFonts w:ascii="Bookman Old Style" w:hAnsi="Bookman Old Style"/>
        <w:b w:val="0"/>
        <w:noProof/>
        <w:sz w:val="22"/>
      </w:rPr>
      <w:t>10</w:t>
    </w:r>
    <w:r w:rsidRPr="00A157E2">
      <w:rPr>
        <w:rFonts w:ascii="Bookman Old Style" w:hAnsi="Bookman Old Style"/>
        <w:b w:val="0"/>
        <w:sz w:val="22"/>
      </w:rPr>
      <w:fldChar w:fldCharType="end"/>
    </w:r>
    <w:r w:rsidRPr="00A157E2">
      <w:rPr>
        <w:rFonts w:ascii="Bookman Old Style" w:hAnsi="Bookman Old Style"/>
        <w:b w:val="0"/>
        <w:sz w:val="22"/>
      </w:rPr>
      <w:t>/</w:t>
    </w:r>
    <w:r w:rsidRPr="00A157E2">
      <w:rPr>
        <w:rFonts w:ascii="Bookman Old Style" w:hAnsi="Bookman Old Style"/>
        <w:b w:val="0"/>
        <w:sz w:val="22"/>
      </w:rPr>
      <w:fldChar w:fldCharType="begin"/>
    </w:r>
    <w:r w:rsidRPr="00A157E2">
      <w:rPr>
        <w:rFonts w:ascii="Bookman Old Style" w:hAnsi="Bookman Old Style"/>
        <w:b w:val="0"/>
        <w:sz w:val="22"/>
      </w:rPr>
      <w:instrText xml:space="preserve"> NUMPAGES  \* MERGEFORMAT </w:instrText>
    </w:r>
    <w:r w:rsidRPr="00A157E2">
      <w:rPr>
        <w:rFonts w:ascii="Bookman Old Style" w:hAnsi="Bookman Old Style"/>
        <w:b w:val="0"/>
        <w:sz w:val="22"/>
      </w:rPr>
      <w:fldChar w:fldCharType="separate"/>
    </w:r>
    <w:r w:rsidR="00B11897">
      <w:rPr>
        <w:rFonts w:ascii="Bookman Old Style" w:hAnsi="Bookman Old Style"/>
        <w:b w:val="0"/>
        <w:noProof/>
        <w:sz w:val="22"/>
      </w:rPr>
      <w:t>10</w:t>
    </w:r>
    <w:r w:rsidRPr="00A157E2">
      <w:rPr>
        <w:rFonts w:ascii="Bookman Old Style" w:hAnsi="Bookman Old Style"/>
        <w:b w:val="0"/>
        <w:noProof/>
        <w:sz w:val="22"/>
      </w:rPr>
      <w:fldChar w:fldCharType="end"/>
    </w:r>
  </w:p>
  <w:p w14:paraId="7E7DFBFF" w14:textId="77777777" w:rsidR="00CA2685" w:rsidRDefault="00CA2685" w:rsidP="00262CBF">
    <w:pPr>
      <w:rPr>
        <w:rFonts w:cs="Arial"/>
      </w:rPr>
    </w:pPr>
    <w:r>
      <w:rPr>
        <w:noProof/>
        <w:lang w:val="es-CO" w:eastAsia="es-CO"/>
      </w:rPr>
      <mc:AlternateContent>
        <mc:Choice Requires="wps">
          <w:drawing>
            <wp:anchor distT="0" distB="0" distL="114300" distR="114300" simplePos="0" relativeHeight="251657216" behindDoc="0" locked="0" layoutInCell="1" allowOverlap="1" wp14:anchorId="7532518F" wp14:editId="266FE425">
              <wp:simplePos x="0" y="0"/>
              <wp:positionH relativeFrom="column">
                <wp:posOffset>-175260</wp:posOffset>
              </wp:positionH>
              <wp:positionV relativeFrom="paragraph">
                <wp:posOffset>139065</wp:posOffset>
              </wp:positionV>
              <wp:extent cx="6267450" cy="9900920"/>
              <wp:effectExtent l="0" t="0" r="19050" b="2413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D5567" id="Rectángulo 2"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" filled="f" strokeweight="1.5pt"/>
          </w:pict>
        </mc:Fallback>
      </mc:AlternateContent>
    </w:r>
  </w:p>
  <w:p w14:paraId="41F47162" w14:textId="77777777" w:rsidR="00A82C4A" w:rsidRPr="00A82C4A" w:rsidRDefault="00A82C4A" w:rsidP="00A82C4A">
    <w:pPr>
      <w:widowControl w:val="0"/>
      <w:adjustRightInd w:val="0"/>
      <w:ind w:right="20"/>
      <w:rPr>
        <w:rFonts w:cs="Arial"/>
        <w:sz w:val="22"/>
        <w:szCs w:val="22"/>
        <w:lang w:val="es-ES_tradnl"/>
      </w:rPr>
    </w:pPr>
    <w:r w:rsidRPr="00A82C4A">
      <w:rPr>
        <w:rFonts w:cs="Arial"/>
        <w:sz w:val="22"/>
        <w:szCs w:val="22"/>
      </w:rPr>
      <w:t>Por la cual se resuelve el recurso de reposición interpuesto por la empresa GASES DEL CARIBE S.A. E.S.P. contra la Resolución CREG 198 de 2017, “</w:t>
    </w:r>
    <w:r w:rsidRPr="00A82C4A">
      <w:rPr>
        <w:rFonts w:cs="Arial"/>
        <w:sz w:val="22"/>
        <w:szCs w:val="22"/>
        <w:lang w:val="es-ES_tradnl"/>
      </w:rPr>
      <w:t>Por la cual se aprueba cargo transitorio por uso del sistema de distribución de gas combustible por redes de tubería, para el mercado relevante conformado por municipios de los departamentos de Atlántico, Magdalena, Cesar y Bolívar, según solicitud tarifaria presentada por GASES DEL CARIBE S.A. E.S.P. y PROMIGAS S.A. E.S.P.”</w:t>
    </w:r>
  </w:p>
  <w:p w14:paraId="034A73B0" w14:textId="77777777" w:rsidR="00CA2685" w:rsidRPr="005F5476" w:rsidRDefault="00CA2685" w:rsidP="005F5476">
    <w:pPr>
      <w:pBdr>
        <w:bottom w:val="single" w:sz="4" w:space="1" w:color="auto"/>
      </w:pBdr>
      <w:rPr>
        <w:rFonts w:cs="Arial"/>
        <w:sz w:val="20"/>
        <w:szCs w:val="20"/>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03B18" w14:textId="7B76049D" w:rsidR="00CA2685" w:rsidRPr="00262CBF" w:rsidRDefault="00CA2685" w:rsidP="00217B06">
    <w:pPr>
      <w:pStyle w:val="Encabezado"/>
      <w:jc w:val="center"/>
      <w:rPr>
        <w:rFonts w:ascii="Arial" w:hAnsi="Arial" w:cs="Arial"/>
        <w:sz w:val="22"/>
      </w:rPr>
    </w:pPr>
    <w:r w:rsidRPr="00262CBF">
      <w:rPr>
        <w:rFonts w:ascii="Arial" w:hAnsi="Arial" w:cs="Arial"/>
        <w:sz w:val="22"/>
      </w:rPr>
      <w:t>República de Colombia</w:t>
    </w:r>
  </w:p>
  <w:p w14:paraId="2817F32B" w14:textId="77777777" w:rsidR="00CA2685" w:rsidRDefault="00CA2685" w:rsidP="00262CBF">
    <w:pPr>
      <w:pStyle w:val="Encabezado"/>
    </w:pPr>
  </w:p>
  <w:p w14:paraId="39D87E61" w14:textId="77777777" w:rsidR="00CA2685" w:rsidRDefault="00CA2685" w:rsidP="00262CBF">
    <w:pPr>
      <w:pStyle w:val="Encabezado"/>
    </w:pPr>
    <w:r>
      <w:rPr>
        <w:noProof/>
        <w:lang w:eastAsia="es-CO"/>
      </w:rPr>
      <mc:AlternateContent>
        <mc:Choice Requires="wps">
          <w:drawing>
            <wp:anchor distT="0" distB="0" distL="114300" distR="114300" simplePos="0" relativeHeight="251658240" behindDoc="0" locked="0" layoutInCell="1" allowOverlap="1" wp14:anchorId="2D902966" wp14:editId="0E90EC40">
              <wp:simplePos x="0" y="0"/>
              <wp:positionH relativeFrom="column">
                <wp:posOffset>-213360</wp:posOffset>
              </wp:positionH>
              <wp:positionV relativeFrom="paragraph">
                <wp:posOffset>377190</wp:posOffset>
              </wp:positionV>
              <wp:extent cx="6343650" cy="9839325"/>
              <wp:effectExtent l="0" t="0" r="19050" b="285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C7D40" id="Rectángulo 1"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" filled="f" strokeweight="1.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1BFF"/>
    <w:multiLevelType w:val="multilevel"/>
    <w:tmpl w:val="D16E102A"/>
    <w:lvl w:ilvl="0">
      <w:start w:val="1"/>
      <w:numFmt w:val="decimal"/>
      <w:pStyle w:val="Estilo2"/>
      <w:lvlText w:val="Artículo %1."/>
      <w:lvlJc w:val="left"/>
      <w:pPr>
        <w:tabs>
          <w:tab w:val="num" w:pos="2357"/>
        </w:tabs>
        <w:ind w:left="917" w:firstLine="0"/>
      </w:pPr>
      <w:rPr>
        <w:rFonts w:hint="default"/>
        <w:b/>
        <w:i w:val="0"/>
      </w:rPr>
    </w:lvl>
    <w:lvl w:ilvl="1">
      <w:start w:val="1"/>
      <w:numFmt w:val="lowerLetter"/>
      <w:lvlText w:val="%2)"/>
      <w:lvlJc w:val="left"/>
      <w:pPr>
        <w:ind w:left="-1314" w:hanging="375"/>
      </w:pPr>
      <w:rPr>
        <w:rFonts w:hint="default"/>
      </w:rPr>
    </w:lvl>
    <w:lvl w:ilvl="2">
      <w:start w:val="1"/>
      <w:numFmt w:val="lowerRoman"/>
      <w:lvlText w:val="%3."/>
      <w:lvlJc w:val="right"/>
      <w:pPr>
        <w:tabs>
          <w:tab w:val="num" w:pos="-609"/>
        </w:tabs>
        <w:ind w:left="-609" w:hanging="180"/>
      </w:pPr>
    </w:lvl>
    <w:lvl w:ilvl="3">
      <w:start w:val="1"/>
      <w:numFmt w:val="decimal"/>
      <w:lvlText w:val="%4."/>
      <w:lvlJc w:val="left"/>
      <w:pPr>
        <w:tabs>
          <w:tab w:val="num" w:pos="111"/>
        </w:tabs>
        <w:ind w:left="111" w:hanging="360"/>
      </w:pPr>
    </w:lvl>
    <w:lvl w:ilvl="4">
      <w:start w:val="1"/>
      <w:numFmt w:val="lowerLetter"/>
      <w:lvlText w:val="%5."/>
      <w:lvlJc w:val="left"/>
      <w:pPr>
        <w:tabs>
          <w:tab w:val="num" w:pos="831"/>
        </w:tabs>
        <w:ind w:left="831" w:hanging="360"/>
      </w:pPr>
    </w:lvl>
    <w:lvl w:ilvl="5">
      <w:start w:val="1"/>
      <w:numFmt w:val="lowerRoman"/>
      <w:lvlText w:val="%6."/>
      <w:lvlJc w:val="right"/>
      <w:pPr>
        <w:tabs>
          <w:tab w:val="num" w:pos="1551"/>
        </w:tabs>
        <w:ind w:left="1551" w:hanging="180"/>
      </w:pPr>
    </w:lvl>
    <w:lvl w:ilvl="6" w:tentative="1">
      <w:start w:val="1"/>
      <w:numFmt w:val="decimal"/>
      <w:lvlText w:val="%7."/>
      <w:lvlJc w:val="left"/>
      <w:pPr>
        <w:tabs>
          <w:tab w:val="num" w:pos="2271"/>
        </w:tabs>
        <w:ind w:left="2271" w:hanging="360"/>
      </w:pPr>
    </w:lvl>
    <w:lvl w:ilvl="7" w:tentative="1">
      <w:start w:val="1"/>
      <w:numFmt w:val="lowerLetter"/>
      <w:lvlText w:val="%8."/>
      <w:lvlJc w:val="left"/>
      <w:pPr>
        <w:tabs>
          <w:tab w:val="num" w:pos="2991"/>
        </w:tabs>
        <w:ind w:left="2991" w:hanging="360"/>
      </w:pPr>
    </w:lvl>
    <w:lvl w:ilvl="8" w:tentative="1">
      <w:start w:val="1"/>
      <w:numFmt w:val="lowerRoman"/>
      <w:lvlText w:val="%9."/>
      <w:lvlJc w:val="right"/>
      <w:pPr>
        <w:tabs>
          <w:tab w:val="num" w:pos="3711"/>
        </w:tabs>
        <w:ind w:left="3711" w:hanging="180"/>
      </w:pPr>
    </w:lvl>
  </w:abstractNum>
  <w:abstractNum w:abstractNumId="1" w15:restartNumberingAfterBreak="0">
    <w:nsid w:val="04E31A8D"/>
    <w:multiLevelType w:val="multilevel"/>
    <w:tmpl w:val="5D2A6D4A"/>
    <w:lvl w:ilvl="0">
      <w:start w:val="1"/>
      <w:numFmt w:val="decimal"/>
      <w:lvlText w:val="%1."/>
      <w:lvlJc w:val="left"/>
      <w:pPr>
        <w:ind w:left="720" w:hanging="360"/>
      </w:pPr>
      <w:rPr>
        <w:rFonts w:hint="default"/>
      </w:rPr>
    </w:lvl>
    <w:lvl w:ilvl="1">
      <w:start w:val="7"/>
      <w:numFmt w:val="decimal"/>
      <w:isLgl/>
      <w:lvlText w:val="%1.%2"/>
      <w:lvlJc w:val="left"/>
      <w:pPr>
        <w:ind w:left="1135" w:hanging="60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65" w:hanging="108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675" w:hanging="144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385" w:hanging="1800"/>
      </w:pPr>
      <w:rPr>
        <w:rFonts w:hint="default"/>
      </w:rPr>
    </w:lvl>
    <w:lvl w:ilvl="8">
      <w:start w:val="1"/>
      <w:numFmt w:val="decimal"/>
      <w:isLgl/>
      <w:lvlText w:val="%1.%2.%3.%4.%5.%6.%7.%8.%9"/>
      <w:lvlJc w:val="left"/>
      <w:pPr>
        <w:ind w:left="3560" w:hanging="1800"/>
      </w:pPr>
      <w:rPr>
        <w:rFonts w:hint="default"/>
      </w:rPr>
    </w:lvl>
  </w:abstractNum>
  <w:abstractNum w:abstractNumId="2" w15:restartNumberingAfterBreak="0">
    <w:nsid w:val="059264AD"/>
    <w:multiLevelType w:val="hybridMultilevel"/>
    <w:tmpl w:val="C996298E"/>
    <w:lvl w:ilvl="0" w:tplc="73F272F6">
      <w:start w:val="1"/>
      <w:numFmt w:val="lowerRoman"/>
      <w:pStyle w:val="Prrafodelista"/>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9FA6194"/>
    <w:multiLevelType w:val="hybridMultilevel"/>
    <w:tmpl w:val="579A1A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C24002"/>
    <w:multiLevelType w:val="multilevel"/>
    <w:tmpl w:val="00C60F30"/>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CBB0465"/>
    <w:multiLevelType w:val="hybridMultilevel"/>
    <w:tmpl w:val="423458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F9529F"/>
    <w:multiLevelType w:val="multilevel"/>
    <w:tmpl w:val="287A55FE"/>
    <w:lvl w:ilvl="0">
      <w:start w:val="1"/>
      <w:numFmt w:val="decimal"/>
      <w:lvlText w:val="%1."/>
      <w:lvlJc w:val="left"/>
      <w:pPr>
        <w:ind w:left="720" w:hanging="360"/>
      </w:p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3ED1F47"/>
    <w:multiLevelType w:val="multilevel"/>
    <w:tmpl w:val="287A55FE"/>
    <w:lvl w:ilvl="0">
      <w:start w:val="1"/>
      <w:numFmt w:val="decimal"/>
      <w:lvlText w:val="%1."/>
      <w:lvlJc w:val="left"/>
      <w:pPr>
        <w:ind w:left="720" w:hanging="360"/>
      </w:p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60155B7"/>
    <w:multiLevelType w:val="hybridMultilevel"/>
    <w:tmpl w:val="3CE0F1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721DEC"/>
    <w:multiLevelType w:val="hybridMultilevel"/>
    <w:tmpl w:val="1BE2FE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E736CB"/>
    <w:multiLevelType w:val="hybridMultilevel"/>
    <w:tmpl w:val="F6B061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1818EF"/>
    <w:multiLevelType w:val="multilevel"/>
    <w:tmpl w:val="641CED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359B4B2D"/>
    <w:multiLevelType w:val="hybridMultilevel"/>
    <w:tmpl w:val="6B980156"/>
    <w:lvl w:ilvl="0" w:tplc="240A000F">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9F40E6"/>
    <w:multiLevelType w:val="hybridMultilevel"/>
    <w:tmpl w:val="97A291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15934C5"/>
    <w:multiLevelType w:val="hybridMultilevel"/>
    <w:tmpl w:val="4ADADEC6"/>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44A24C23"/>
    <w:multiLevelType w:val="hybridMultilevel"/>
    <w:tmpl w:val="4606C882"/>
    <w:lvl w:ilvl="0" w:tplc="03BCC496">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53556E9"/>
    <w:multiLevelType w:val="hybridMultilevel"/>
    <w:tmpl w:val="C096D61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5F33665"/>
    <w:multiLevelType w:val="multilevel"/>
    <w:tmpl w:val="11D0B0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D0C13D4"/>
    <w:multiLevelType w:val="hybridMultilevel"/>
    <w:tmpl w:val="B888B3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DAC1269"/>
    <w:multiLevelType w:val="hybridMultilevel"/>
    <w:tmpl w:val="F4EA5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856273"/>
    <w:multiLevelType w:val="hybridMultilevel"/>
    <w:tmpl w:val="FE361266"/>
    <w:name w:val="WW8Num6423"/>
    <w:lvl w:ilvl="0" w:tplc="BC34A7B4">
      <w:start w:val="1"/>
      <w:numFmt w:val="upperRoman"/>
      <w:pStyle w:val="Ttulo5"/>
      <w:lvlText w:val="%1."/>
      <w:lvlJc w:val="left"/>
      <w:pPr>
        <w:tabs>
          <w:tab w:val="num" w:pos="1080"/>
        </w:tabs>
        <w:ind w:left="1080" w:hanging="720"/>
      </w:pPr>
      <w:rPr>
        <w:rFonts w:hint="default"/>
      </w:rPr>
    </w:lvl>
    <w:lvl w:ilvl="1" w:tplc="36249162">
      <w:start w:val="1"/>
      <w:numFmt w:val="decimal"/>
      <w:lvlText w:val="%2."/>
      <w:lvlJc w:val="left"/>
      <w:pPr>
        <w:ind w:left="1485" w:hanging="405"/>
      </w:pPr>
      <w:rPr>
        <w:rFonts w:hint="default"/>
        <w:b/>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1" w15:restartNumberingAfterBreak="0">
    <w:nsid w:val="58E642F1"/>
    <w:multiLevelType w:val="multilevel"/>
    <w:tmpl w:val="5D2A6D4A"/>
    <w:lvl w:ilvl="0">
      <w:start w:val="1"/>
      <w:numFmt w:val="decimal"/>
      <w:lvlText w:val="%1."/>
      <w:lvlJc w:val="left"/>
      <w:pPr>
        <w:ind w:left="720" w:hanging="360"/>
      </w:pPr>
      <w:rPr>
        <w:rFonts w:hint="default"/>
      </w:rPr>
    </w:lvl>
    <w:lvl w:ilvl="1">
      <w:start w:val="7"/>
      <w:numFmt w:val="decimal"/>
      <w:isLgl/>
      <w:lvlText w:val="%1.%2"/>
      <w:lvlJc w:val="left"/>
      <w:pPr>
        <w:ind w:left="1135" w:hanging="60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65" w:hanging="108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675" w:hanging="144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385" w:hanging="1800"/>
      </w:pPr>
      <w:rPr>
        <w:rFonts w:hint="default"/>
      </w:rPr>
    </w:lvl>
    <w:lvl w:ilvl="8">
      <w:start w:val="1"/>
      <w:numFmt w:val="decimal"/>
      <w:isLgl/>
      <w:lvlText w:val="%1.%2.%3.%4.%5.%6.%7.%8.%9"/>
      <w:lvlJc w:val="left"/>
      <w:pPr>
        <w:ind w:left="3560" w:hanging="1800"/>
      </w:pPr>
      <w:rPr>
        <w:rFonts w:hint="default"/>
      </w:rPr>
    </w:lvl>
  </w:abstractNum>
  <w:abstractNum w:abstractNumId="22" w15:restartNumberingAfterBreak="0">
    <w:nsid w:val="5B547219"/>
    <w:multiLevelType w:val="multilevel"/>
    <w:tmpl w:val="5D2A6D4A"/>
    <w:lvl w:ilvl="0">
      <w:start w:val="1"/>
      <w:numFmt w:val="decimal"/>
      <w:lvlText w:val="%1."/>
      <w:lvlJc w:val="left"/>
      <w:pPr>
        <w:ind w:left="720" w:hanging="360"/>
      </w:pPr>
      <w:rPr>
        <w:rFonts w:hint="default"/>
      </w:rPr>
    </w:lvl>
    <w:lvl w:ilvl="1">
      <w:start w:val="7"/>
      <w:numFmt w:val="decimal"/>
      <w:isLgl/>
      <w:lvlText w:val="%1.%2"/>
      <w:lvlJc w:val="left"/>
      <w:pPr>
        <w:ind w:left="1135" w:hanging="60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65" w:hanging="108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675" w:hanging="144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385" w:hanging="1800"/>
      </w:pPr>
      <w:rPr>
        <w:rFonts w:hint="default"/>
      </w:rPr>
    </w:lvl>
    <w:lvl w:ilvl="8">
      <w:start w:val="1"/>
      <w:numFmt w:val="decimal"/>
      <w:isLgl/>
      <w:lvlText w:val="%1.%2.%3.%4.%5.%6.%7.%8.%9"/>
      <w:lvlJc w:val="left"/>
      <w:pPr>
        <w:ind w:left="3560" w:hanging="1800"/>
      </w:pPr>
      <w:rPr>
        <w:rFonts w:hint="default"/>
      </w:rPr>
    </w:lvl>
  </w:abstractNum>
  <w:abstractNum w:abstractNumId="23" w15:restartNumberingAfterBreak="0">
    <w:nsid w:val="5E455766"/>
    <w:multiLevelType w:val="hybridMultilevel"/>
    <w:tmpl w:val="802A5D22"/>
    <w:lvl w:ilvl="0" w:tplc="FA8C8C64">
      <w:start w:val="1"/>
      <w:numFmt w:val="decimal"/>
      <w:lvlText w:val="%1."/>
      <w:lvlJc w:val="left"/>
      <w:pPr>
        <w:ind w:left="362" w:hanging="360"/>
      </w:pPr>
      <w:rPr>
        <w:rFonts w:hint="default"/>
      </w:rPr>
    </w:lvl>
    <w:lvl w:ilvl="1" w:tplc="240A0019" w:tentative="1">
      <w:start w:val="1"/>
      <w:numFmt w:val="lowerLetter"/>
      <w:lvlText w:val="%2."/>
      <w:lvlJc w:val="left"/>
      <w:pPr>
        <w:ind w:left="1082" w:hanging="360"/>
      </w:pPr>
    </w:lvl>
    <w:lvl w:ilvl="2" w:tplc="240A001B" w:tentative="1">
      <w:start w:val="1"/>
      <w:numFmt w:val="lowerRoman"/>
      <w:lvlText w:val="%3."/>
      <w:lvlJc w:val="right"/>
      <w:pPr>
        <w:ind w:left="1802" w:hanging="180"/>
      </w:pPr>
    </w:lvl>
    <w:lvl w:ilvl="3" w:tplc="240A000F" w:tentative="1">
      <w:start w:val="1"/>
      <w:numFmt w:val="decimal"/>
      <w:lvlText w:val="%4."/>
      <w:lvlJc w:val="left"/>
      <w:pPr>
        <w:ind w:left="2522" w:hanging="360"/>
      </w:pPr>
    </w:lvl>
    <w:lvl w:ilvl="4" w:tplc="240A0019" w:tentative="1">
      <w:start w:val="1"/>
      <w:numFmt w:val="lowerLetter"/>
      <w:lvlText w:val="%5."/>
      <w:lvlJc w:val="left"/>
      <w:pPr>
        <w:ind w:left="3242" w:hanging="360"/>
      </w:pPr>
    </w:lvl>
    <w:lvl w:ilvl="5" w:tplc="240A001B" w:tentative="1">
      <w:start w:val="1"/>
      <w:numFmt w:val="lowerRoman"/>
      <w:lvlText w:val="%6."/>
      <w:lvlJc w:val="right"/>
      <w:pPr>
        <w:ind w:left="3962" w:hanging="180"/>
      </w:pPr>
    </w:lvl>
    <w:lvl w:ilvl="6" w:tplc="240A000F" w:tentative="1">
      <w:start w:val="1"/>
      <w:numFmt w:val="decimal"/>
      <w:lvlText w:val="%7."/>
      <w:lvlJc w:val="left"/>
      <w:pPr>
        <w:ind w:left="4682" w:hanging="360"/>
      </w:pPr>
    </w:lvl>
    <w:lvl w:ilvl="7" w:tplc="240A0019" w:tentative="1">
      <w:start w:val="1"/>
      <w:numFmt w:val="lowerLetter"/>
      <w:lvlText w:val="%8."/>
      <w:lvlJc w:val="left"/>
      <w:pPr>
        <w:ind w:left="5402" w:hanging="360"/>
      </w:pPr>
    </w:lvl>
    <w:lvl w:ilvl="8" w:tplc="240A001B" w:tentative="1">
      <w:start w:val="1"/>
      <w:numFmt w:val="lowerRoman"/>
      <w:lvlText w:val="%9."/>
      <w:lvlJc w:val="right"/>
      <w:pPr>
        <w:ind w:left="6122" w:hanging="180"/>
      </w:pPr>
    </w:lvl>
  </w:abstractNum>
  <w:abstractNum w:abstractNumId="24" w15:restartNumberingAfterBreak="0">
    <w:nsid w:val="60CA7B71"/>
    <w:multiLevelType w:val="hybridMultilevel"/>
    <w:tmpl w:val="7F66E266"/>
    <w:lvl w:ilvl="0" w:tplc="1E6A1238">
      <w:start w:val="1"/>
      <w:numFmt w:val="bullet"/>
      <w:lvlText w:val=""/>
      <w:lvlJc w:val="left"/>
      <w:pPr>
        <w:tabs>
          <w:tab w:val="num" w:pos="720"/>
        </w:tabs>
        <w:ind w:left="720" w:hanging="360"/>
      </w:pPr>
      <w:rPr>
        <w:rFonts w:ascii="Wingdings 2" w:hAnsi="Wingdings 2" w:hint="default"/>
      </w:rPr>
    </w:lvl>
    <w:lvl w:ilvl="1" w:tplc="70CA5D22" w:tentative="1">
      <w:start w:val="1"/>
      <w:numFmt w:val="bullet"/>
      <w:lvlText w:val=""/>
      <w:lvlJc w:val="left"/>
      <w:pPr>
        <w:tabs>
          <w:tab w:val="num" w:pos="1440"/>
        </w:tabs>
        <w:ind w:left="1440" w:hanging="360"/>
      </w:pPr>
      <w:rPr>
        <w:rFonts w:ascii="Wingdings 2" w:hAnsi="Wingdings 2" w:hint="default"/>
      </w:rPr>
    </w:lvl>
    <w:lvl w:ilvl="2" w:tplc="4CC0BB6A" w:tentative="1">
      <w:start w:val="1"/>
      <w:numFmt w:val="bullet"/>
      <w:lvlText w:val=""/>
      <w:lvlJc w:val="left"/>
      <w:pPr>
        <w:tabs>
          <w:tab w:val="num" w:pos="2160"/>
        </w:tabs>
        <w:ind w:left="2160" w:hanging="360"/>
      </w:pPr>
      <w:rPr>
        <w:rFonts w:ascii="Wingdings 2" w:hAnsi="Wingdings 2" w:hint="default"/>
      </w:rPr>
    </w:lvl>
    <w:lvl w:ilvl="3" w:tplc="76AC1E62" w:tentative="1">
      <w:start w:val="1"/>
      <w:numFmt w:val="bullet"/>
      <w:lvlText w:val=""/>
      <w:lvlJc w:val="left"/>
      <w:pPr>
        <w:tabs>
          <w:tab w:val="num" w:pos="2880"/>
        </w:tabs>
        <w:ind w:left="2880" w:hanging="360"/>
      </w:pPr>
      <w:rPr>
        <w:rFonts w:ascii="Wingdings 2" w:hAnsi="Wingdings 2" w:hint="default"/>
      </w:rPr>
    </w:lvl>
    <w:lvl w:ilvl="4" w:tplc="EF3C96D2" w:tentative="1">
      <w:start w:val="1"/>
      <w:numFmt w:val="bullet"/>
      <w:lvlText w:val=""/>
      <w:lvlJc w:val="left"/>
      <w:pPr>
        <w:tabs>
          <w:tab w:val="num" w:pos="3600"/>
        </w:tabs>
        <w:ind w:left="3600" w:hanging="360"/>
      </w:pPr>
      <w:rPr>
        <w:rFonts w:ascii="Wingdings 2" w:hAnsi="Wingdings 2" w:hint="default"/>
      </w:rPr>
    </w:lvl>
    <w:lvl w:ilvl="5" w:tplc="9998D51E" w:tentative="1">
      <w:start w:val="1"/>
      <w:numFmt w:val="bullet"/>
      <w:lvlText w:val=""/>
      <w:lvlJc w:val="left"/>
      <w:pPr>
        <w:tabs>
          <w:tab w:val="num" w:pos="4320"/>
        </w:tabs>
        <w:ind w:left="4320" w:hanging="360"/>
      </w:pPr>
      <w:rPr>
        <w:rFonts w:ascii="Wingdings 2" w:hAnsi="Wingdings 2" w:hint="default"/>
      </w:rPr>
    </w:lvl>
    <w:lvl w:ilvl="6" w:tplc="946673D4" w:tentative="1">
      <w:start w:val="1"/>
      <w:numFmt w:val="bullet"/>
      <w:lvlText w:val=""/>
      <w:lvlJc w:val="left"/>
      <w:pPr>
        <w:tabs>
          <w:tab w:val="num" w:pos="5040"/>
        </w:tabs>
        <w:ind w:left="5040" w:hanging="360"/>
      </w:pPr>
      <w:rPr>
        <w:rFonts w:ascii="Wingdings 2" w:hAnsi="Wingdings 2" w:hint="default"/>
      </w:rPr>
    </w:lvl>
    <w:lvl w:ilvl="7" w:tplc="065EC716" w:tentative="1">
      <w:start w:val="1"/>
      <w:numFmt w:val="bullet"/>
      <w:lvlText w:val=""/>
      <w:lvlJc w:val="left"/>
      <w:pPr>
        <w:tabs>
          <w:tab w:val="num" w:pos="5760"/>
        </w:tabs>
        <w:ind w:left="5760" w:hanging="360"/>
      </w:pPr>
      <w:rPr>
        <w:rFonts w:ascii="Wingdings 2" w:hAnsi="Wingdings 2" w:hint="default"/>
      </w:rPr>
    </w:lvl>
    <w:lvl w:ilvl="8" w:tplc="4704B3F6"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0CC3879"/>
    <w:multiLevelType w:val="hybridMultilevel"/>
    <w:tmpl w:val="0E4E19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456DA6"/>
    <w:multiLevelType w:val="hybridMultilevel"/>
    <w:tmpl w:val="AA1A3DCA"/>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8E60D94"/>
    <w:multiLevelType w:val="hybridMultilevel"/>
    <w:tmpl w:val="98440A82"/>
    <w:lvl w:ilvl="0" w:tplc="0C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15:restartNumberingAfterBreak="0">
    <w:nsid w:val="6A6B461D"/>
    <w:multiLevelType w:val="hybridMultilevel"/>
    <w:tmpl w:val="8C16D24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15:restartNumberingAfterBreak="0">
    <w:nsid w:val="733339DD"/>
    <w:multiLevelType w:val="multilevel"/>
    <w:tmpl w:val="498851FC"/>
    <w:lvl w:ilvl="0">
      <w:start w:val="9"/>
      <w:numFmt w:val="decimal"/>
      <w:lvlText w:val="%1."/>
      <w:lvlJc w:val="left"/>
      <w:pPr>
        <w:ind w:left="720" w:hanging="72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30" w15:restartNumberingAfterBreak="0">
    <w:nsid w:val="7826098E"/>
    <w:multiLevelType w:val="hybridMultilevel"/>
    <w:tmpl w:val="D034E3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
  </w:num>
  <w:num w:numId="4">
    <w:abstractNumId w:val="25"/>
  </w:num>
  <w:num w:numId="5">
    <w:abstractNumId w:val="4"/>
  </w:num>
  <w:num w:numId="6">
    <w:abstractNumId w:val="22"/>
  </w:num>
  <w:num w:numId="7">
    <w:abstractNumId w:val="17"/>
  </w:num>
  <w:num w:numId="8">
    <w:abstractNumId w:val="13"/>
  </w:num>
  <w:num w:numId="9">
    <w:abstractNumId w:val="19"/>
  </w:num>
  <w:num w:numId="10">
    <w:abstractNumId w:val="29"/>
  </w:num>
  <w:num w:numId="11">
    <w:abstractNumId w:val="9"/>
  </w:num>
  <w:num w:numId="12">
    <w:abstractNumId w:val="11"/>
  </w:num>
  <w:num w:numId="13">
    <w:abstractNumId w:val="7"/>
  </w:num>
  <w:num w:numId="14">
    <w:abstractNumId w:val="6"/>
  </w:num>
  <w:num w:numId="15">
    <w:abstractNumId w:val="21"/>
  </w:num>
  <w:num w:numId="16">
    <w:abstractNumId w:val="1"/>
  </w:num>
  <w:num w:numId="17">
    <w:abstractNumId w:val="23"/>
  </w:num>
  <w:num w:numId="18">
    <w:abstractNumId w:val="30"/>
  </w:num>
  <w:num w:numId="19">
    <w:abstractNumId w:val="26"/>
  </w:num>
  <w:num w:numId="20">
    <w:abstractNumId w:val="1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0"/>
  </w:num>
  <w:num w:numId="28">
    <w:abstractNumId w:val="15"/>
  </w:num>
  <w:num w:numId="29">
    <w:abstractNumId w:val="18"/>
  </w:num>
  <w:num w:numId="30">
    <w:abstractNumId w:val="20"/>
  </w:num>
  <w:num w:numId="31">
    <w:abstractNumId w:val="27"/>
  </w:num>
  <w:num w:numId="3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D79"/>
    <w:rsid w:val="0000179C"/>
    <w:rsid w:val="00001C8F"/>
    <w:rsid w:val="00002B91"/>
    <w:rsid w:val="000038B3"/>
    <w:rsid w:val="000045B5"/>
    <w:rsid w:val="00004D3A"/>
    <w:rsid w:val="00005491"/>
    <w:rsid w:val="0000561E"/>
    <w:rsid w:val="00005B4A"/>
    <w:rsid w:val="000074D5"/>
    <w:rsid w:val="00011839"/>
    <w:rsid w:val="00012E13"/>
    <w:rsid w:val="00012EA0"/>
    <w:rsid w:val="00012FAD"/>
    <w:rsid w:val="000136DF"/>
    <w:rsid w:val="00013D2D"/>
    <w:rsid w:val="000150C8"/>
    <w:rsid w:val="00021ADB"/>
    <w:rsid w:val="00022D57"/>
    <w:rsid w:val="00022F97"/>
    <w:rsid w:val="00023603"/>
    <w:rsid w:val="00023800"/>
    <w:rsid w:val="0002641E"/>
    <w:rsid w:val="00030591"/>
    <w:rsid w:val="00031746"/>
    <w:rsid w:val="000318CE"/>
    <w:rsid w:val="00031E1A"/>
    <w:rsid w:val="0003245C"/>
    <w:rsid w:val="00032882"/>
    <w:rsid w:val="0003317C"/>
    <w:rsid w:val="0003388A"/>
    <w:rsid w:val="00036936"/>
    <w:rsid w:val="00037916"/>
    <w:rsid w:val="00037A82"/>
    <w:rsid w:val="000405BA"/>
    <w:rsid w:val="0004201E"/>
    <w:rsid w:val="00042E8D"/>
    <w:rsid w:val="000448F9"/>
    <w:rsid w:val="00046C73"/>
    <w:rsid w:val="00047082"/>
    <w:rsid w:val="00050A5A"/>
    <w:rsid w:val="00051B7D"/>
    <w:rsid w:val="00054CD2"/>
    <w:rsid w:val="000567C0"/>
    <w:rsid w:val="000567EA"/>
    <w:rsid w:val="00056CBF"/>
    <w:rsid w:val="00057BB8"/>
    <w:rsid w:val="00061C79"/>
    <w:rsid w:val="00062272"/>
    <w:rsid w:val="00062DBE"/>
    <w:rsid w:val="0006414D"/>
    <w:rsid w:val="000650D5"/>
    <w:rsid w:val="00065D68"/>
    <w:rsid w:val="0007023F"/>
    <w:rsid w:val="000706C3"/>
    <w:rsid w:val="000708D8"/>
    <w:rsid w:val="00071BDE"/>
    <w:rsid w:val="00072368"/>
    <w:rsid w:val="000739EE"/>
    <w:rsid w:val="00074764"/>
    <w:rsid w:val="00076562"/>
    <w:rsid w:val="0007679D"/>
    <w:rsid w:val="00077179"/>
    <w:rsid w:val="00077CE3"/>
    <w:rsid w:val="00080D76"/>
    <w:rsid w:val="00081781"/>
    <w:rsid w:val="00081B3C"/>
    <w:rsid w:val="00082E92"/>
    <w:rsid w:val="0008447F"/>
    <w:rsid w:val="000855C4"/>
    <w:rsid w:val="00085D41"/>
    <w:rsid w:val="000874E7"/>
    <w:rsid w:val="0008795B"/>
    <w:rsid w:val="000900DD"/>
    <w:rsid w:val="000922D2"/>
    <w:rsid w:val="00092781"/>
    <w:rsid w:val="000929C4"/>
    <w:rsid w:val="00092E26"/>
    <w:rsid w:val="000946B4"/>
    <w:rsid w:val="00094D94"/>
    <w:rsid w:val="00095AF7"/>
    <w:rsid w:val="00096FF1"/>
    <w:rsid w:val="00097852"/>
    <w:rsid w:val="000979BF"/>
    <w:rsid w:val="000A06A6"/>
    <w:rsid w:val="000A0E37"/>
    <w:rsid w:val="000A2BC1"/>
    <w:rsid w:val="000A5BEC"/>
    <w:rsid w:val="000B2033"/>
    <w:rsid w:val="000B2FA5"/>
    <w:rsid w:val="000B4075"/>
    <w:rsid w:val="000B4EAC"/>
    <w:rsid w:val="000B5CE3"/>
    <w:rsid w:val="000B6777"/>
    <w:rsid w:val="000B6CA8"/>
    <w:rsid w:val="000B7122"/>
    <w:rsid w:val="000B7DAD"/>
    <w:rsid w:val="000C1597"/>
    <w:rsid w:val="000C168B"/>
    <w:rsid w:val="000C2423"/>
    <w:rsid w:val="000C2B79"/>
    <w:rsid w:val="000C3118"/>
    <w:rsid w:val="000C3D3C"/>
    <w:rsid w:val="000C41B5"/>
    <w:rsid w:val="000C4407"/>
    <w:rsid w:val="000C4966"/>
    <w:rsid w:val="000C4FF9"/>
    <w:rsid w:val="000C5265"/>
    <w:rsid w:val="000C639E"/>
    <w:rsid w:val="000C6D76"/>
    <w:rsid w:val="000C736B"/>
    <w:rsid w:val="000D0F87"/>
    <w:rsid w:val="000D1567"/>
    <w:rsid w:val="000D165A"/>
    <w:rsid w:val="000D2694"/>
    <w:rsid w:val="000D42F7"/>
    <w:rsid w:val="000D47C8"/>
    <w:rsid w:val="000D4FC5"/>
    <w:rsid w:val="000D5BA3"/>
    <w:rsid w:val="000D6854"/>
    <w:rsid w:val="000D6F30"/>
    <w:rsid w:val="000E06B7"/>
    <w:rsid w:val="000E0BB2"/>
    <w:rsid w:val="000E0C74"/>
    <w:rsid w:val="000E2362"/>
    <w:rsid w:val="000E2D37"/>
    <w:rsid w:val="000E346B"/>
    <w:rsid w:val="000E3675"/>
    <w:rsid w:val="000E68DE"/>
    <w:rsid w:val="000E748B"/>
    <w:rsid w:val="000F000D"/>
    <w:rsid w:val="000F00E2"/>
    <w:rsid w:val="000F1332"/>
    <w:rsid w:val="000F34EF"/>
    <w:rsid w:val="000F3718"/>
    <w:rsid w:val="000F5DED"/>
    <w:rsid w:val="000F611E"/>
    <w:rsid w:val="000F64AA"/>
    <w:rsid w:val="000F71AA"/>
    <w:rsid w:val="000F73B3"/>
    <w:rsid w:val="000F7C22"/>
    <w:rsid w:val="00100224"/>
    <w:rsid w:val="00100FA3"/>
    <w:rsid w:val="00102D31"/>
    <w:rsid w:val="00102E06"/>
    <w:rsid w:val="00105A59"/>
    <w:rsid w:val="00105F42"/>
    <w:rsid w:val="00106339"/>
    <w:rsid w:val="001067F1"/>
    <w:rsid w:val="00106C56"/>
    <w:rsid w:val="00106D35"/>
    <w:rsid w:val="00106F1D"/>
    <w:rsid w:val="00107AA8"/>
    <w:rsid w:val="00107CD8"/>
    <w:rsid w:val="00111421"/>
    <w:rsid w:val="00112B1D"/>
    <w:rsid w:val="00112CA1"/>
    <w:rsid w:val="00114E8A"/>
    <w:rsid w:val="001156F2"/>
    <w:rsid w:val="0011719C"/>
    <w:rsid w:val="00120863"/>
    <w:rsid w:val="00123226"/>
    <w:rsid w:val="00123D96"/>
    <w:rsid w:val="00124C42"/>
    <w:rsid w:val="00125EFA"/>
    <w:rsid w:val="00126526"/>
    <w:rsid w:val="00126A5C"/>
    <w:rsid w:val="00126BCD"/>
    <w:rsid w:val="00127D24"/>
    <w:rsid w:val="00130951"/>
    <w:rsid w:val="00131877"/>
    <w:rsid w:val="00131E79"/>
    <w:rsid w:val="0013296B"/>
    <w:rsid w:val="0013387B"/>
    <w:rsid w:val="00133F49"/>
    <w:rsid w:val="0013440A"/>
    <w:rsid w:val="001348FC"/>
    <w:rsid w:val="00135C52"/>
    <w:rsid w:val="00137402"/>
    <w:rsid w:val="00140472"/>
    <w:rsid w:val="00141D7D"/>
    <w:rsid w:val="00146054"/>
    <w:rsid w:val="00146195"/>
    <w:rsid w:val="00147700"/>
    <w:rsid w:val="00147973"/>
    <w:rsid w:val="00147EC1"/>
    <w:rsid w:val="00150438"/>
    <w:rsid w:val="00150AE7"/>
    <w:rsid w:val="001528CF"/>
    <w:rsid w:val="00152C82"/>
    <w:rsid w:val="00152F08"/>
    <w:rsid w:val="00154EA0"/>
    <w:rsid w:val="00155787"/>
    <w:rsid w:val="001575F8"/>
    <w:rsid w:val="0016052E"/>
    <w:rsid w:val="00164393"/>
    <w:rsid w:val="00165890"/>
    <w:rsid w:val="001676AB"/>
    <w:rsid w:val="001702F8"/>
    <w:rsid w:val="00172047"/>
    <w:rsid w:val="001743F0"/>
    <w:rsid w:val="00175043"/>
    <w:rsid w:val="001776F7"/>
    <w:rsid w:val="001779D4"/>
    <w:rsid w:val="00180897"/>
    <w:rsid w:val="00183BF5"/>
    <w:rsid w:val="00183E86"/>
    <w:rsid w:val="00184314"/>
    <w:rsid w:val="00184640"/>
    <w:rsid w:val="00184FCD"/>
    <w:rsid w:val="00187C25"/>
    <w:rsid w:val="00190562"/>
    <w:rsid w:val="00191653"/>
    <w:rsid w:val="00191FD0"/>
    <w:rsid w:val="001933F3"/>
    <w:rsid w:val="00193C99"/>
    <w:rsid w:val="00194165"/>
    <w:rsid w:val="00196FC0"/>
    <w:rsid w:val="001A1181"/>
    <w:rsid w:val="001A2438"/>
    <w:rsid w:val="001A295E"/>
    <w:rsid w:val="001A2D1E"/>
    <w:rsid w:val="001A30E4"/>
    <w:rsid w:val="001A315F"/>
    <w:rsid w:val="001A3EE8"/>
    <w:rsid w:val="001A3F3F"/>
    <w:rsid w:val="001A419A"/>
    <w:rsid w:val="001A463B"/>
    <w:rsid w:val="001A4892"/>
    <w:rsid w:val="001A5BEE"/>
    <w:rsid w:val="001A7E71"/>
    <w:rsid w:val="001B06CC"/>
    <w:rsid w:val="001B099C"/>
    <w:rsid w:val="001B27DF"/>
    <w:rsid w:val="001B2968"/>
    <w:rsid w:val="001B2A9A"/>
    <w:rsid w:val="001B2CBD"/>
    <w:rsid w:val="001B37AC"/>
    <w:rsid w:val="001B501B"/>
    <w:rsid w:val="001B5ACE"/>
    <w:rsid w:val="001B678C"/>
    <w:rsid w:val="001B6A46"/>
    <w:rsid w:val="001C0C78"/>
    <w:rsid w:val="001C1D85"/>
    <w:rsid w:val="001C1EE3"/>
    <w:rsid w:val="001C1FD8"/>
    <w:rsid w:val="001C3B79"/>
    <w:rsid w:val="001C4364"/>
    <w:rsid w:val="001C444C"/>
    <w:rsid w:val="001C5D81"/>
    <w:rsid w:val="001C5D82"/>
    <w:rsid w:val="001C6459"/>
    <w:rsid w:val="001C6528"/>
    <w:rsid w:val="001D0512"/>
    <w:rsid w:val="001D053C"/>
    <w:rsid w:val="001D0EF7"/>
    <w:rsid w:val="001D104B"/>
    <w:rsid w:val="001D56B4"/>
    <w:rsid w:val="001D6DDD"/>
    <w:rsid w:val="001E1574"/>
    <w:rsid w:val="001E1975"/>
    <w:rsid w:val="001E1B4E"/>
    <w:rsid w:val="001E1D2D"/>
    <w:rsid w:val="001E3BDF"/>
    <w:rsid w:val="001E522D"/>
    <w:rsid w:val="001E527F"/>
    <w:rsid w:val="001E5331"/>
    <w:rsid w:val="001E5449"/>
    <w:rsid w:val="001E676F"/>
    <w:rsid w:val="001F2610"/>
    <w:rsid w:val="001F2A7A"/>
    <w:rsid w:val="001F3566"/>
    <w:rsid w:val="001F46E9"/>
    <w:rsid w:val="001F47D0"/>
    <w:rsid w:val="001F4D4A"/>
    <w:rsid w:val="001F5035"/>
    <w:rsid w:val="001F599C"/>
    <w:rsid w:val="001F6533"/>
    <w:rsid w:val="001F66DF"/>
    <w:rsid w:val="001F7BF4"/>
    <w:rsid w:val="002006A0"/>
    <w:rsid w:val="00201817"/>
    <w:rsid w:val="00201849"/>
    <w:rsid w:val="00201E29"/>
    <w:rsid w:val="00203008"/>
    <w:rsid w:val="00203042"/>
    <w:rsid w:val="00203AC7"/>
    <w:rsid w:val="00204A2A"/>
    <w:rsid w:val="00204B18"/>
    <w:rsid w:val="00204FDE"/>
    <w:rsid w:val="002069C6"/>
    <w:rsid w:val="002070B7"/>
    <w:rsid w:val="002078DB"/>
    <w:rsid w:val="00210ED1"/>
    <w:rsid w:val="0021147B"/>
    <w:rsid w:val="002116DE"/>
    <w:rsid w:val="002120B1"/>
    <w:rsid w:val="00212647"/>
    <w:rsid w:val="00213D63"/>
    <w:rsid w:val="0021472E"/>
    <w:rsid w:val="002147A7"/>
    <w:rsid w:val="00214DDA"/>
    <w:rsid w:val="00215646"/>
    <w:rsid w:val="00216FB3"/>
    <w:rsid w:val="00217B06"/>
    <w:rsid w:val="00220ACE"/>
    <w:rsid w:val="00222DDA"/>
    <w:rsid w:val="00226E2C"/>
    <w:rsid w:val="00227580"/>
    <w:rsid w:val="00227675"/>
    <w:rsid w:val="00230A16"/>
    <w:rsid w:val="00230F74"/>
    <w:rsid w:val="002322D9"/>
    <w:rsid w:val="002326D0"/>
    <w:rsid w:val="00232C8F"/>
    <w:rsid w:val="00234049"/>
    <w:rsid w:val="0023413A"/>
    <w:rsid w:val="002365D2"/>
    <w:rsid w:val="00240209"/>
    <w:rsid w:val="002418F6"/>
    <w:rsid w:val="00242EA1"/>
    <w:rsid w:val="00244157"/>
    <w:rsid w:val="00245529"/>
    <w:rsid w:val="00246C9C"/>
    <w:rsid w:val="0024714C"/>
    <w:rsid w:val="00250401"/>
    <w:rsid w:val="00250A72"/>
    <w:rsid w:val="002519AE"/>
    <w:rsid w:val="00251C9B"/>
    <w:rsid w:val="00251FE5"/>
    <w:rsid w:val="00252C9D"/>
    <w:rsid w:val="00255A59"/>
    <w:rsid w:val="0026021B"/>
    <w:rsid w:val="002602D4"/>
    <w:rsid w:val="00260796"/>
    <w:rsid w:val="00260E8A"/>
    <w:rsid w:val="0026114C"/>
    <w:rsid w:val="0026121F"/>
    <w:rsid w:val="00262CBF"/>
    <w:rsid w:val="0026468D"/>
    <w:rsid w:val="002658E4"/>
    <w:rsid w:val="00266BEF"/>
    <w:rsid w:val="00266D70"/>
    <w:rsid w:val="002714CA"/>
    <w:rsid w:val="00271E07"/>
    <w:rsid w:val="0027266F"/>
    <w:rsid w:val="00272DE7"/>
    <w:rsid w:val="002730C5"/>
    <w:rsid w:val="00273DA6"/>
    <w:rsid w:val="00275916"/>
    <w:rsid w:val="00276330"/>
    <w:rsid w:val="00276783"/>
    <w:rsid w:val="002768E8"/>
    <w:rsid w:val="002774B2"/>
    <w:rsid w:val="00277C50"/>
    <w:rsid w:val="0028052B"/>
    <w:rsid w:val="0028193F"/>
    <w:rsid w:val="00281CAE"/>
    <w:rsid w:val="0028262B"/>
    <w:rsid w:val="00285D68"/>
    <w:rsid w:val="002872CB"/>
    <w:rsid w:val="00287C36"/>
    <w:rsid w:val="00290267"/>
    <w:rsid w:val="002907DC"/>
    <w:rsid w:val="00290CD5"/>
    <w:rsid w:val="00293D4B"/>
    <w:rsid w:val="002943C0"/>
    <w:rsid w:val="00294F5A"/>
    <w:rsid w:val="002951A4"/>
    <w:rsid w:val="002975F0"/>
    <w:rsid w:val="002A01C4"/>
    <w:rsid w:val="002A0621"/>
    <w:rsid w:val="002A1419"/>
    <w:rsid w:val="002A4B13"/>
    <w:rsid w:val="002A50E5"/>
    <w:rsid w:val="002A5CB3"/>
    <w:rsid w:val="002B188E"/>
    <w:rsid w:val="002B2242"/>
    <w:rsid w:val="002B3E14"/>
    <w:rsid w:val="002B446B"/>
    <w:rsid w:val="002B552E"/>
    <w:rsid w:val="002B58E1"/>
    <w:rsid w:val="002B7CB8"/>
    <w:rsid w:val="002C0B5C"/>
    <w:rsid w:val="002C1ACE"/>
    <w:rsid w:val="002C21C4"/>
    <w:rsid w:val="002C4E48"/>
    <w:rsid w:val="002C7D1C"/>
    <w:rsid w:val="002D45B6"/>
    <w:rsid w:val="002D5FA8"/>
    <w:rsid w:val="002D71FA"/>
    <w:rsid w:val="002E0024"/>
    <w:rsid w:val="002E26BF"/>
    <w:rsid w:val="002E3725"/>
    <w:rsid w:val="002E46D6"/>
    <w:rsid w:val="002E55F6"/>
    <w:rsid w:val="002E5F61"/>
    <w:rsid w:val="002E6EB0"/>
    <w:rsid w:val="002E7968"/>
    <w:rsid w:val="002E7CA1"/>
    <w:rsid w:val="002F11A7"/>
    <w:rsid w:val="002F121A"/>
    <w:rsid w:val="002F1354"/>
    <w:rsid w:val="002F2590"/>
    <w:rsid w:val="002F3384"/>
    <w:rsid w:val="002F361F"/>
    <w:rsid w:val="002F407F"/>
    <w:rsid w:val="002F65DF"/>
    <w:rsid w:val="002F732D"/>
    <w:rsid w:val="003009CC"/>
    <w:rsid w:val="00301062"/>
    <w:rsid w:val="00301727"/>
    <w:rsid w:val="00301B77"/>
    <w:rsid w:val="00301FF4"/>
    <w:rsid w:val="003044A3"/>
    <w:rsid w:val="00305182"/>
    <w:rsid w:val="003068C5"/>
    <w:rsid w:val="00307EA5"/>
    <w:rsid w:val="00310537"/>
    <w:rsid w:val="00310551"/>
    <w:rsid w:val="003107F4"/>
    <w:rsid w:val="003112DE"/>
    <w:rsid w:val="003113AB"/>
    <w:rsid w:val="00313690"/>
    <w:rsid w:val="00314D61"/>
    <w:rsid w:val="00314DF6"/>
    <w:rsid w:val="00315A00"/>
    <w:rsid w:val="00317298"/>
    <w:rsid w:val="003179DE"/>
    <w:rsid w:val="00317D45"/>
    <w:rsid w:val="00321068"/>
    <w:rsid w:val="0032167A"/>
    <w:rsid w:val="00321EE4"/>
    <w:rsid w:val="00322188"/>
    <w:rsid w:val="00323BD4"/>
    <w:rsid w:val="00324167"/>
    <w:rsid w:val="00324309"/>
    <w:rsid w:val="00324FDE"/>
    <w:rsid w:val="00327260"/>
    <w:rsid w:val="0033067A"/>
    <w:rsid w:val="00333703"/>
    <w:rsid w:val="003340FA"/>
    <w:rsid w:val="00334BD6"/>
    <w:rsid w:val="0034146B"/>
    <w:rsid w:val="00341E6C"/>
    <w:rsid w:val="00341EC4"/>
    <w:rsid w:val="0034285F"/>
    <w:rsid w:val="00342CC8"/>
    <w:rsid w:val="00342D5A"/>
    <w:rsid w:val="00342FB7"/>
    <w:rsid w:val="00343971"/>
    <w:rsid w:val="0034584D"/>
    <w:rsid w:val="00354DCC"/>
    <w:rsid w:val="003561FD"/>
    <w:rsid w:val="003572CE"/>
    <w:rsid w:val="003579A9"/>
    <w:rsid w:val="00360374"/>
    <w:rsid w:val="003614CE"/>
    <w:rsid w:val="00361FD5"/>
    <w:rsid w:val="0036249F"/>
    <w:rsid w:val="00362FEE"/>
    <w:rsid w:val="003660FA"/>
    <w:rsid w:val="00366E91"/>
    <w:rsid w:val="003670AC"/>
    <w:rsid w:val="00370012"/>
    <w:rsid w:val="00370188"/>
    <w:rsid w:val="00370641"/>
    <w:rsid w:val="00370915"/>
    <w:rsid w:val="00370BE7"/>
    <w:rsid w:val="00370C8D"/>
    <w:rsid w:val="00371377"/>
    <w:rsid w:val="00371E20"/>
    <w:rsid w:val="0037444D"/>
    <w:rsid w:val="0037562B"/>
    <w:rsid w:val="00375805"/>
    <w:rsid w:val="003767F2"/>
    <w:rsid w:val="00376AE1"/>
    <w:rsid w:val="00382E39"/>
    <w:rsid w:val="00383495"/>
    <w:rsid w:val="00384D38"/>
    <w:rsid w:val="003860F4"/>
    <w:rsid w:val="00386A0C"/>
    <w:rsid w:val="00386B10"/>
    <w:rsid w:val="00386EEE"/>
    <w:rsid w:val="00387872"/>
    <w:rsid w:val="00390715"/>
    <w:rsid w:val="00390F62"/>
    <w:rsid w:val="00392415"/>
    <w:rsid w:val="003A037B"/>
    <w:rsid w:val="003A33EC"/>
    <w:rsid w:val="003A38D6"/>
    <w:rsid w:val="003A3DFF"/>
    <w:rsid w:val="003A4D24"/>
    <w:rsid w:val="003A7A25"/>
    <w:rsid w:val="003B09BD"/>
    <w:rsid w:val="003B19E3"/>
    <w:rsid w:val="003B2DDF"/>
    <w:rsid w:val="003B2EF3"/>
    <w:rsid w:val="003B3622"/>
    <w:rsid w:val="003B3E6B"/>
    <w:rsid w:val="003B6118"/>
    <w:rsid w:val="003C1008"/>
    <w:rsid w:val="003C1067"/>
    <w:rsid w:val="003C156E"/>
    <w:rsid w:val="003C1B25"/>
    <w:rsid w:val="003C20A1"/>
    <w:rsid w:val="003C234F"/>
    <w:rsid w:val="003C29FB"/>
    <w:rsid w:val="003C364A"/>
    <w:rsid w:val="003C4633"/>
    <w:rsid w:val="003C4A37"/>
    <w:rsid w:val="003C654B"/>
    <w:rsid w:val="003C6ABB"/>
    <w:rsid w:val="003C6B51"/>
    <w:rsid w:val="003C774F"/>
    <w:rsid w:val="003D34D1"/>
    <w:rsid w:val="003D35DB"/>
    <w:rsid w:val="003D487F"/>
    <w:rsid w:val="003D5587"/>
    <w:rsid w:val="003D6542"/>
    <w:rsid w:val="003D6771"/>
    <w:rsid w:val="003D7E21"/>
    <w:rsid w:val="003D7E85"/>
    <w:rsid w:val="003E0697"/>
    <w:rsid w:val="003E2E92"/>
    <w:rsid w:val="003E376E"/>
    <w:rsid w:val="003E3DD3"/>
    <w:rsid w:val="003E4299"/>
    <w:rsid w:val="003E64F2"/>
    <w:rsid w:val="003E75CF"/>
    <w:rsid w:val="003E7E99"/>
    <w:rsid w:val="003F0223"/>
    <w:rsid w:val="003F081A"/>
    <w:rsid w:val="003F16FB"/>
    <w:rsid w:val="003F1FA7"/>
    <w:rsid w:val="003F28EC"/>
    <w:rsid w:val="003F60A4"/>
    <w:rsid w:val="003F69B0"/>
    <w:rsid w:val="003F6E5D"/>
    <w:rsid w:val="0040043E"/>
    <w:rsid w:val="00402856"/>
    <w:rsid w:val="004039E9"/>
    <w:rsid w:val="0040591E"/>
    <w:rsid w:val="004059F0"/>
    <w:rsid w:val="004070C8"/>
    <w:rsid w:val="00407211"/>
    <w:rsid w:val="004076B9"/>
    <w:rsid w:val="00410B5C"/>
    <w:rsid w:val="004124D1"/>
    <w:rsid w:val="0041780F"/>
    <w:rsid w:val="004200C6"/>
    <w:rsid w:val="00421E65"/>
    <w:rsid w:val="004238D9"/>
    <w:rsid w:val="0042401C"/>
    <w:rsid w:val="00424E91"/>
    <w:rsid w:val="0042654E"/>
    <w:rsid w:val="00427DEF"/>
    <w:rsid w:val="0043109C"/>
    <w:rsid w:val="004313BE"/>
    <w:rsid w:val="004326A8"/>
    <w:rsid w:val="0043404C"/>
    <w:rsid w:val="004340E5"/>
    <w:rsid w:val="004366DF"/>
    <w:rsid w:val="0044321A"/>
    <w:rsid w:val="00443440"/>
    <w:rsid w:val="004442F4"/>
    <w:rsid w:val="00444C89"/>
    <w:rsid w:val="0044531D"/>
    <w:rsid w:val="00445436"/>
    <w:rsid w:val="00445D79"/>
    <w:rsid w:val="004460D9"/>
    <w:rsid w:val="004471A1"/>
    <w:rsid w:val="00450CAE"/>
    <w:rsid w:val="00451D89"/>
    <w:rsid w:val="00452E7B"/>
    <w:rsid w:val="0045352F"/>
    <w:rsid w:val="0045590F"/>
    <w:rsid w:val="00457368"/>
    <w:rsid w:val="004609D6"/>
    <w:rsid w:val="004609F5"/>
    <w:rsid w:val="00460B3E"/>
    <w:rsid w:val="00460BB9"/>
    <w:rsid w:val="00462508"/>
    <w:rsid w:val="00462965"/>
    <w:rsid w:val="00462977"/>
    <w:rsid w:val="00462F17"/>
    <w:rsid w:val="00463028"/>
    <w:rsid w:val="00465A32"/>
    <w:rsid w:val="00465A64"/>
    <w:rsid w:val="00465FB1"/>
    <w:rsid w:val="00466146"/>
    <w:rsid w:val="004663AD"/>
    <w:rsid w:val="00467533"/>
    <w:rsid w:val="00467D01"/>
    <w:rsid w:val="0047252C"/>
    <w:rsid w:val="00472AA5"/>
    <w:rsid w:val="00473BC7"/>
    <w:rsid w:val="00473D1E"/>
    <w:rsid w:val="00473E56"/>
    <w:rsid w:val="00476F76"/>
    <w:rsid w:val="00476FCB"/>
    <w:rsid w:val="00476FCF"/>
    <w:rsid w:val="00477792"/>
    <w:rsid w:val="00477CB6"/>
    <w:rsid w:val="00480500"/>
    <w:rsid w:val="004813EE"/>
    <w:rsid w:val="004822ED"/>
    <w:rsid w:val="0048278E"/>
    <w:rsid w:val="00484AAB"/>
    <w:rsid w:val="00486F2F"/>
    <w:rsid w:val="0048747E"/>
    <w:rsid w:val="00487C3D"/>
    <w:rsid w:val="0049143B"/>
    <w:rsid w:val="004915E1"/>
    <w:rsid w:val="00493047"/>
    <w:rsid w:val="0049328A"/>
    <w:rsid w:val="0049536D"/>
    <w:rsid w:val="00495717"/>
    <w:rsid w:val="0049749D"/>
    <w:rsid w:val="004977C4"/>
    <w:rsid w:val="004A4C0B"/>
    <w:rsid w:val="004A4D88"/>
    <w:rsid w:val="004A5065"/>
    <w:rsid w:val="004A65BA"/>
    <w:rsid w:val="004B199F"/>
    <w:rsid w:val="004B1ECC"/>
    <w:rsid w:val="004B2BFC"/>
    <w:rsid w:val="004B46BE"/>
    <w:rsid w:val="004B4F0B"/>
    <w:rsid w:val="004B5B17"/>
    <w:rsid w:val="004B6119"/>
    <w:rsid w:val="004B6F54"/>
    <w:rsid w:val="004B6F90"/>
    <w:rsid w:val="004B7260"/>
    <w:rsid w:val="004B7D4F"/>
    <w:rsid w:val="004C0689"/>
    <w:rsid w:val="004C0A25"/>
    <w:rsid w:val="004C17CC"/>
    <w:rsid w:val="004C28CF"/>
    <w:rsid w:val="004C5DA9"/>
    <w:rsid w:val="004C5DB7"/>
    <w:rsid w:val="004C6D6B"/>
    <w:rsid w:val="004C6E91"/>
    <w:rsid w:val="004C7486"/>
    <w:rsid w:val="004C7871"/>
    <w:rsid w:val="004C78A6"/>
    <w:rsid w:val="004D0D95"/>
    <w:rsid w:val="004D1231"/>
    <w:rsid w:val="004D1358"/>
    <w:rsid w:val="004D20C8"/>
    <w:rsid w:val="004D32A2"/>
    <w:rsid w:val="004D5B54"/>
    <w:rsid w:val="004D5F99"/>
    <w:rsid w:val="004D6016"/>
    <w:rsid w:val="004D663A"/>
    <w:rsid w:val="004D6882"/>
    <w:rsid w:val="004D692D"/>
    <w:rsid w:val="004D6D12"/>
    <w:rsid w:val="004D73E4"/>
    <w:rsid w:val="004D7678"/>
    <w:rsid w:val="004E0280"/>
    <w:rsid w:val="004E0EAC"/>
    <w:rsid w:val="004E15B1"/>
    <w:rsid w:val="004E1821"/>
    <w:rsid w:val="004E2BB6"/>
    <w:rsid w:val="004E3AA6"/>
    <w:rsid w:val="004E3E08"/>
    <w:rsid w:val="004E4395"/>
    <w:rsid w:val="004E4CDB"/>
    <w:rsid w:val="004E564D"/>
    <w:rsid w:val="004E5911"/>
    <w:rsid w:val="004E6699"/>
    <w:rsid w:val="004E7914"/>
    <w:rsid w:val="004F0CE2"/>
    <w:rsid w:val="004F0DC3"/>
    <w:rsid w:val="004F1009"/>
    <w:rsid w:val="004F21A0"/>
    <w:rsid w:val="004F3019"/>
    <w:rsid w:val="004F33E8"/>
    <w:rsid w:val="004F367D"/>
    <w:rsid w:val="004F4C71"/>
    <w:rsid w:val="004F6A95"/>
    <w:rsid w:val="004F7F57"/>
    <w:rsid w:val="00501643"/>
    <w:rsid w:val="005021D4"/>
    <w:rsid w:val="00503A26"/>
    <w:rsid w:val="00504201"/>
    <w:rsid w:val="005045E1"/>
    <w:rsid w:val="005057C0"/>
    <w:rsid w:val="00505949"/>
    <w:rsid w:val="005061C6"/>
    <w:rsid w:val="0050656C"/>
    <w:rsid w:val="00506BC1"/>
    <w:rsid w:val="00507AC0"/>
    <w:rsid w:val="00507D1F"/>
    <w:rsid w:val="00510AFC"/>
    <w:rsid w:val="00510CAB"/>
    <w:rsid w:val="00511007"/>
    <w:rsid w:val="00511508"/>
    <w:rsid w:val="005116E1"/>
    <w:rsid w:val="005135E4"/>
    <w:rsid w:val="00514544"/>
    <w:rsid w:val="00514DDB"/>
    <w:rsid w:val="005150AC"/>
    <w:rsid w:val="00515171"/>
    <w:rsid w:val="00515608"/>
    <w:rsid w:val="005158F1"/>
    <w:rsid w:val="00516154"/>
    <w:rsid w:val="00517AE1"/>
    <w:rsid w:val="0052007A"/>
    <w:rsid w:val="00521203"/>
    <w:rsid w:val="005218AD"/>
    <w:rsid w:val="00522A01"/>
    <w:rsid w:val="00522FA0"/>
    <w:rsid w:val="00522FCD"/>
    <w:rsid w:val="0052407B"/>
    <w:rsid w:val="005244C4"/>
    <w:rsid w:val="005249A2"/>
    <w:rsid w:val="0052689C"/>
    <w:rsid w:val="0052762A"/>
    <w:rsid w:val="005277CE"/>
    <w:rsid w:val="005312C1"/>
    <w:rsid w:val="005314E9"/>
    <w:rsid w:val="00533842"/>
    <w:rsid w:val="00533A4F"/>
    <w:rsid w:val="005375CA"/>
    <w:rsid w:val="005431A6"/>
    <w:rsid w:val="00543319"/>
    <w:rsid w:val="005438B9"/>
    <w:rsid w:val="00544E80"/>
    <w:rsid w:val="005456EA"/>
    <w:rsid w:val="00545E6D"/>
    <w:rsid w:val="005505C3"/>
    <w:rsid w:val="0055124C"/>
    <w:rsid w:val="00552778"/>
    <w:rsid w:val="00552A70"/>
    <w:rsid w:val="00552B4C"/>
    <w:rsid w:val="00552E76"/>
    <w:rsid w:val="00553075"/>
    <w:rsid w:val="0055529D"/>
    <w:rsid w:val="00555917"/>
    <w:rsid w:val="00557E27"/>
    <w:rsid w:val="00560068"/>
    <w:rsid w:val="00561AD7"/>
    <w:rsid w:val="00561DE8"/>
    <w:rsid w:val="005625E2"/>
    <w:rsid w:val="0056290A"/>
    <w:rsid w:val="005635AF"/>
    <w:rsid w:val="00564B15"/>
    <w:rsid w:val="00564B3A"/>
    <w:rsid w:val="00564D20"/>
    <w:rsid w:val="00565063"/>
    <w:rsid w:val="005668D8"/>
    <w:rsid w:val="0057053B"/>
    <w:rsid w:val="00573226"/>
    <w:rsid w:val="0057365A"/>
    <w:rsid w:val="005749C0"/>
    <w:rsid w:val="005754F9"/>
    <w:rsid w:val="00575EA4"/>
    <w:rsid w:val="00576A60"/>
    <w:rsid w:val="00576DD9"/>
    <w:rsid w:val="0057728C"/>
    <w:rsid w:val="00577E4D"/>
    <w:rsid w:val="005806BC"/>
    <w:rsid w:val="00580E13"/>
    <w:rsid w:val="00581B0F"/>
    <w:rsid w:val="0058380B"/>
    <w:rsid w:val="00583C9B"/>
    <w:rsid w:val="00585491"/>
    <w:rsid w:val="00586279"/>
    <w:rsid w:val="00587506"/>
    <w:rsid w:val="00587A2E"/>
    <w:rsid w:val="00587DFB"/>
    <w:rsid w:val="005939E5"/>
    <w:rsid w:val="0059461D"/>
    <w:rsid w:val="00596406"/>
    <w:rsid w:val="005969EF"/>
    <w:rsid w:val="0059746F"/>
    <w:rsid w:val="005976CA"/>
    <w:rsid w:val="005A031D"/>
    <w:rsid w:val="005A0455"/>
    <w:rsid w:val="005A0738"/>
    <w:rsid w:val="005A1068"/>
    <w:rsid w:val="005A1D5B"/>
    <w:rsid w:val="005A299E"/>
    <w:rsid w:val="005A2DE9"/>
    <w:rsid w:val="005A38EB"/>
    <w:rsid w:val="005A4B38"/>
    <w:rsid w:val="005A6B02"/>
    <w:rsid w:val="005A71A9"/>
    <w:rsid w:val="005A7965"/>
    <w:rsid w:val="005B0093"/>
    <w:rsid w:val="005B069B"/>
    <w:rsid w:val="005B1171"/>
    <w:rsid w:val="005B34F8"/>
    <w:rsid w:val="005B381A"/>
    <w:rsid w:val="005B42FF"/>
    <w:rsid w:val="005B6061"/>
    <w:rsid w:val="005B6842"/>
    <w:rsid w:val="005B6873"/>
    <w:rsid w:val="005B6C3F"/>
    <w:rsid w:val="005C05B8"/>
    <w:rsid w:val="005C0D77"/>
    <w:rsid w:val="005C1AB0"/>
    <w:rsid w:val="005C1C38"/>
    <w:rsid w:val="005C2285"/>
    <w:rsid w:val="005C2442"/>
    <w:rsid w:val="005C2B7A"/>
    <w:rsid w:val="005C52D4"/>
    <w:rsid w:val="005C5316"/>
    <w:rsid w:val="005C5CF5"/>
    <w:rsid w:val="005C6CBB"/>
    <w:rsid w:val="005D10CE"/>
    <w:rsid w:val="005D1A69"/>
    <w:rsid w:val="005D2358"/>
    <w:rsid w:val="005D2387"/>
    <w:rsid w:val="005D2F99"/>
    <w:rsid w:val="005D418D"/>
    <w:rsid w:val="005D4752"/>
    <w:rsid w:val="005D47DE"/>
    <w:rsid w:val="005D4A5D"/>
    <w:rsid w:val="005D5CA2"/>
    <w:rsid w:val="005D5CB8"/>
    <w:rsid w:val="005D7272"/>
    <w:rsid w:val="005D7CE5"/>
    <w:rsid w:val="005E0893"/>
    <w:rsid w:val="005E0E9F"/>
    <w:rsid w:val="005E208B"/>
    <w:rsid w:val="005E2E22"/>
    <w:rsid w:val="005E348B"/>
    <w:rsid w:val="005E3A6A"/>
    <w:rsid w:val="005E3B11"/>
    <w:rsid w:val="005E4A65"/>
    <w:rsid w:val="005E7687"/>
    <w:rsid w:val="005F0B3D"/>
    <w:rsid w:val="005F1E00"/>
    <w:rsid w:val="005F348A"/>
    <w:rsid w:val="005F375D"/>
    <w:rsid w:val="005F5476"/>
    <w:rsid w:val="005F5671"/>
    <w:rsid w:val="005F5F25"/>
    <w:rsid w:val="005F684F"/>
    <w:rsid w:val="005F6DB8"/>
    <w:rsid w:val="005F7B79"/>
    <w:rsid w:val="005F7EE1"/>
    <w:rsid w:val="006023B9"/>
    <w:rsid w:val="00603025"/>
    <w:rsid w:val="00603275"/>
    <w:rsid w:val="00604A88"/>
    <w:rsid w:val="00605575"/>
    <w:rsid w:val="00605A92"/>
    <w:rsid w:val="00605D34"/>
    <w:rsid w:val="00605EC1"/>
    <w:rsid w:val="00607942"/>
    <w:rsid w:val="00610B84"/>
    <w:rsid w:val="00610EB5"/>
    <w:rsid w:val="00611229"/>
    <w:rsid w:val="006133E2"/>
    <w:rsid w:val="00613470"/>
    <w:rsid w:val="006138E9"/>
    <w:rsid w:val="006149A7"/>
    <w:rsid w:val="00614DA6"/>
    <w:rsid w:val="00615247"/>
    <w:rsid w:val="0061555A"/>
    <w:rsid w:val="0061712A"/>
    <w:rsid w:val="006172C2"/>
    <w:rsid w:val="00617BA7"/>
    <w:rsid w:val="00617DCA"/>
    <w:rsid w:val="00621F92"/>
    <w:rsid w:val="0062313C"/>
    <w:rsid w:val="00623757"/>
    <w:rsid w:val="00624CFF"/>
    <w:rsid w:val="00626826"/>
    <w:rsid w:val="00626B82"/>
    <w:rsid w:val="00627D2F"/>
    <w:rsid w:val="006314BA"/>
    <w:rsid w:val="00632E6D"/>
    <w:rsid w:val="00633688"/>
    <w:rsid w:val="006346E1"/>
    <w:rsid w:val="00635B31"/>
    <w:rsid w:val="00636433"/>
    <w:rsid w:val="00636777"/>
    <w:rsid w:val="00637F59"/>
    <w:rsid w:val="00641305"/>
    <w:rsid w:val="00641E6A"/>
    <w:rsid w:val="006430D4"/>
    <w:rsid w:val="0064314C"/>
    <w:rsid w:val="0064503C"/>
    <w:rsid w:val="00645FCD"/>
    <w:rsid w:val="006467C5"/>
    <w:rsid w:val="00646A35"/>
    <w:rsid w:val="00651DE0"/>
    <w:rsid w:val="00652498"/>
    <w:rsid w:val="00652B25"/>
    <w:rsid w:val="00653163"/>
    <w:rsid w:val="00656F0E"/>
    <w:rsid w:val="0065757D"/>
    <w:rsid w:val="0066114A"/>
    <w:rsid w:val="00661FF4"/>
    <w:rsid w:val="00663761"/>
    <w:rsid w:val="006654AA"/>
    <w:rsid w:val="00665F78"/>
    <w:rsid w:val="006660CC"/>
    <w:rsid w:val="00666347"/>
    <w:rsid w:val="00666E1D"/>
    <w:rsid w:val="00667777"/>
    <w:rsid w:val="006718F2"/>
    <w:rsid w:val="00672B1B"/>
    <w:rsid w:val="00673625"/>
    <w:rsid w:val="00673D24"/>
    <w:rsid w:val="00673FEA"/>
    <w:rsid w:val="006749D0"/>
    <w:rsid w:val="0067507F"/>
    <w:rsid w:val="00675A21"/>
    <w:rsid w:val="00677FED"/>
    <w:rsid w:val="00680362"/>
    <w:rsid w:val="0068077B"/>
    <w:rsid w:val="006812BF"/>
    <w:rsid w:val="00681E7E"/>
    <w:rsid w:val="0068277D"/>
    <w:rsid w:val="006846F6"/>
    <w:rsid w:val="006851F9"/>
    <w:rsid w:val="0068621A"/>
    <w:rsid w:val="00686456"/>
    <w:rsid w:val="00686B76"/>
    <w:rsid w:val="00690AAF"/>
    <w:rsid w:val="00692C98"/>
    <w:rsid w:val="00693ABD"/>
    <w:rsid w:val="0069550D"/>
    <w:rsid w:val="0069554C"/>
    <w:rsid w:val="00695966"/>
    <w:rsid w:val="00695D9A"/>
    <w:rsid w:val="00697515"/>
    <w:rsid w:val="006A1BA2"/>
    <w:rsid w:val="006A23B1"/>
    <w:rsid w:val="006A2EFE"/>
    <w:rsid w:val="006A3439"/>
    <w:rsid w:val="006A48C6"/>
    <w:rsid w:val="006A523B"/>
    <w:rsid w:val="006A7188"/>
    <w:rsid w:val="006B11F8"/>
    <w:rsid w:val="006B4413"/>
    <w:rsid w:val="006C0E52"/>
    <w:rsid w:val="006C0FB9"/>
    <w:rsid w:val="006C1019"/>
    <w:rsid w:val="006C122A"/>
    <w:rsid w:val="006C5022"/>
    <w:rsid w:val="006C5801"/>
    <w:rsid w:val="006C5C7F"/>
    <w:rsid w:val="006C69B5"/>
    <w:rsid w:val="006C6BCE"/>
    <w:rsid w:val="006D00EB"/>
    <w:rsid w:val="006D06C2"/>
    <w:rsid w:val="006D1999"/>
    <w:rsid w:val="006D1CB9"/>
    <w:rsid w:val="006D35E6"/>
    <w:rsid w:val="006D37DC"/>
    <w:rsid w:val="006D5107"/>
    <w:rsid w:val="006D54A0"/>
    <w:rsid w:val="006D6B08"/>
    <w:rsid w:val="006D7A75"/>
    <w:rsid w:val="006D7AB7"/>
    <w:rsid w:val="006E073A"/>
    <w:rsid w:val="006E0846"/>
    <w:rsid w:val="006E0B66"/>
    <w:rsid w:val="006E292E"/>
    <w:rsid w:val="006E33BB"/>
    <w:rsid w:val="006E43F3"/>
    <w:rsid w:val="006E5DD2"/>
    <w:rsid w:val="006E6417"/>
    <w:rsid w:val="006E75C4"/>
    <w:rsid w:val="006E7705"/>
    <w:rsid w:val="006F24AB"/>
    <w:rsid w:val="006F344B"/>
    <w:rsid w:val="006F4AD3"/>
    <w:rsid w:val="006F5492"/>
    <w:rsid w:val="006F5E6E"/>
    <w:rsid w:val="006F7F07"/>
    <w:rsid w:val="006F7F30"/>
    <w:rsid w:val="0070025C"/>
    <w:rsid w:val="00702E58"/>
    <w:rsid w:val="00702F9A"/>
    <w:rsid w:val="00703337"/>
    <w:rsid w:val="00703E92"/>
    <w:rsid w:val="00704DB3"/>
    <w:rsid w:val="007056A2"/>
    <w:rsid w:val="00706246"/>
    <w:rsid w:val="00706A5B"/>
    <w:rsid w:val="00710728"/>
    <w:rsid w:val="00710C94"/>
    <w:rsid w:val="00711678"/>
    <w:rsid w:val="00712916"/>
    <w:rsid w:val="00712C21"/>
    <w:rsid w:val="00712EE5"/>
    <w:rsid w:val="007144A2"/>
    <w:rsid w:val="00714616"/>
    <w:rsid w:val="007147E5"/>
    <w:rsid w:val="0071481B"/>
    <w:rsid w:val="00714D04"/>
    <w:rsid w:val="007163E9"/>
    <w:rsid w:val="00716656"/>
    <w:rsid w:val="0072229C"/>
    <w:rsid w:val="0072297C"/>
    <w:rsid w:val="0072346A"/>
    <w:rsid w:val="00725134"/>
    <w:rsid w:val="00726E14"/>
    <w:rsid w:val="00730291"/>
    <w:rsid w:val="007304DE"/>
    <w:rsid w:val="00731282"/>
    <w:rsid w:val="00732268"/>
    <w:rsid w:val="00733907"/>
    <w:rsid w:val="00733B81"/>
    <w:rsid w:val="00736B2D"/>
    <w:rsid w:val="007412B6"/>
    <w:rsid w:val="00742EA4"/>
    <w:rsid w:val="00743EC9"/>
    <w:rsid w:val="007440E9"/>
    <w:rsid w:val="00744F74"/>
    <w:rsid w:val="00746179"/>
    <w:rsid w:val="0074649E"/>
    <w:rsid w:val="007465AA"/>
    <w:rsid w:val="00746C6B"/>
    <w:rsid w:val="00747235"/>
    <w:rsid w:val="00747E4C"/>
    <w:rsid w:val="0075124B"/>
    <w:rsid w:val="00751B9B"/>
    <w:rsid w:val="007539B5"/>
    <w:rsid w:val="00754819"/>
    <w:rsid w:val="00754E0D"/>
    <w:rsid w:val="00757443"/>
    <w:rsid w:val="00757F36"/>
    <w:rsid w:val="00760042"/>
    <w:rsid w:val="0076185D"/>
    <w:rsid w:val="007618E9"/>
    <w:rsid w:val="0076236E"/>
    <w:rsid w:val="00762A5D"/>
    <w:rsid w:val="00762AF8"/>
    <w:rsid w:val="0076325C"/>
    <w:rsid w:val="007632B6"/>
    <w:rsid w:val="00763A2E"/>
    <w:rsid w:val="00763A35"/>
    <w:rsid w:val="0076414B"/>
    <w:rsid w:val="007648CC"/>
    <w:rsid w:val="00765182"/>
    <w:rsid w:val="00766052"/>
    <w:rsid w:val="0076782D"/>
    <w:rsid w:val="00770200"/>
    <w:rsid w:val="00771464"/>
    <w:rsid w:val="00771865"/>
    <w:rsid w:val="00772E77"/>
    <w:rsid w:val="00773493"/>
    <w:rsid w:val="00774B2B"/>
    <w:rsid w:val="00774E16"/>
    <w:rsid w:val="00775071"/>
    <w:rsid w:val="007757B9"/>
    <w:rsid w:val="0077608D"/>
    <w:rsid w:val="00776443"/>
    <w:rsid w:val="00780A4C"/>
    <w:rsid w:val="00780CE6"/>
    <w:rsid w:val="007812F2"/>
    <w:rsid w:val="0078349A"/>
    <w:rsid w:val="00783F71"/>
    <w:rsid w:val="00784EC1"/>
    <w:rsid w:val="00785C34"/>
    <w:rsid w:val="00787782"/>
    <w:rsid w:val="00787EDD"/>
    <w:rsid w:val="00791115"/>
    <w:rsid w:val="00791429"/>
    <w:rsid w:val="00792503"/>
    <w:rsid w:val="00792A3F"/>
    <w:rsid w:val="00792B47"/>
    <w:rsid w:val="00794097"/>
    <w:rsid w:val="00795327"/>
    <w:rsid w:val="00795719"/>
    <w:rsid w:val="00796BEE"/>
    <w:rsid w:val="00797632"/>
    <w:rsid w:val="007A0666"/>
    <w:rsid w:val="007A090F"/>
    <w:rsid w:val="007A1D12"/>
    <w:rsid w:val="007A23E9"/>
    <w:rsid w:val="007A2887"/>
    <w:rsid w:val="007A3099"/>
    <w:rsid w:val="007A36B4"/>
    <w:rsid w:val="007A39BF"/>
    <w:rsid w:val="007A3ED3"/>
    <w:rsid w:val="007A4469"/>
    <w:rsid w:val="007A45A4"/>
    <w:rsid w:val="007A5A77"/>
    <w:rsid w:val="007A64F3"/>
    <w:rsid w:val="007B0C73"/>
    <w:rsid w:val="007B4478"/>
    <w:rsid w:val="007B6100"/>
    <w:rsid w:val="007B6778"/>
    <w:rsid w:val="007B76F1"/>
    <w:rsid w:val="007C0936"/>
    <w:rsid w:val="007C1FBB"/>
    <w:rsid w:val="007C271E"/>
    <w:rsid w:val="007C3C49"/>
    <w:rsid w:val="007C4238"/>
    <w:rsid w:val="007C4BF2"/>
    <w:rsid w:val="007C53EB"/>
    <w:rsid w:val="007C5499"/>
    <w:rsid w:val="007C615E"/>
    <w:rsid w:val="007C63C0"/>
    <w:rsid w:val="007C7AF2"/>
    <w:rsid w:val="007C7C11"/>
    <w:rsid w:val="007D04D7"/>
    <w:rsid w:val="007D0F27"/>
    <w:rsid w:val="007D13ED"/>
    <w:rsid w:val="007D1F46"/>
    <w:rsid w:val="007D2EBC"/>
    <w:rsid w:val="007D63EF"/>
    <w:rsid w:val="007D7F92"/>
    <w:rsid w:val="007E0096"/>
    <w:rsid w:val="007E1486"/>
    <w:rsid w:val="007E1BCA"/>
    <w:rsid w:val="007E295B"/>
    <w:rsid w:val="007E51A6"/>
    <w:rsid w:val="007E641F"/>
    <w:rsid w:val="007E66D2"/>
    <w:rsid w:val="007E6D66"/>
    <w:rsid w:val="007F0F8D"/>
    <w:rsid w:val="007F1B38"/>
    <w:rsid w:val="007F2602"/>
    <w:rsid w:val="007F3293"/>
    <w:rsid w:val="007F5077"/>
    <w:rsid w:val="007F57EA"/>
    <w:rsid w:val="007F6A77"/>
    <w:rsid w:val="007F7024"/>
    <w:rsid w:val="007F7DA7"/>
    <w:rsid w:val="00800185"/>
    <w:rsid w:val="008004D4"/>
    <w:rsid w:val="008008CB"/>
    <w:rsid w:val="008011F0"/>
    <w:rsid w:val="008032A8"/>
    <w:rsid w:val="00803310"/>
    <w:rsid w:val="00804BED"/>
    <w:rsid w:val="008050D9"/>
    <w:rsid w:val="008069A9"/>
    <w:rsid w:val="00807123"/>
    <w:rsid w:val="00812351"/>
    <w:rsid w:val="008134DD"/>
    <w:rsid w:val="00813FA0"/>
    <w:rsid w:val="00814975"/>
    <w:rsid w:val="0081539B"/>
    <w:rsid w:val="008156F1"/>
    <w:rsid w:val="008159DD"/>
    <w:rsid w:val="0081693F"/>
    <w:rsid w:val="00817760"/>
    <w:rsid w:val="00820242"/>
    <w:rsid w:val="0082091D"/>
    <w:rsid w:val="00821780"/>
    <w:rsid w:val="008219B0"/>
    <w:rsid w:val="00821B17"/>
    <w:rsid w:val="008220B2"/>
    <w:rsid w:val="008221A6"/>
    <w:rsid w:val="008241D0"/>
    <w:rsid w:val="00824526"/>
    <w:rsid w:val="00825AE3"/>
    <w:rsid w:val="00826336"/>
    <w:rsid w:val="008263B5"/>
    <w:rsid w:val="008279FA"/>
    <w:rsid w:val="00831F29"/>
    <w:rsid w:val="008324C8"/>
    <w:rsid w:val="008339A5"/>
    <w:rsid w:val="00833BCC"/>
    <w:rsid w:val="0083667B"/>
    <w:rsid w:val="00836C38"/>
    <w:rsid w:val="00840102"/>
    <w:rsid w:val="008417DE"/>
    <w:rsid w:val="008417F7"/>
    <w:rsid w:val="00842FEE"/>
    <w:rsid w:val="008450A8"/>
    <w:rsid w:val="00845468"/>
    <w:rsid w:val="00845A8D"/>
    <w:rsid w:val="008469F5"/>
    <w:rsid w:val="00846D6F"/>
    <w:rsid w:val="0084746C"/>
    <w:rsid w:val="0085125A"/>
    <w:rsid w:val="00851283"/>
    <w:rsid w:val="008519F0"/>
    <w:rsid w:val="0085295E"/>
    <w:rsid w:val="00853E9F"/>
    <w:rsid w:val="008541D0"/>
    <w:rsid w:val="008552F6"/>
    <w:rsid w:val="00855727"/>
    <w:rsid w:val="0085609A"/>
    <w:rsid w:val="0085656D"/>
    <w:rsid w:val="008568EC"/>
    <w:rsid w:val="00856EC5"/>
    <w:rsid w:val="00860065"/>
    <w:rsid w:val="00860412"/>
    <w:rsid w:val="00860702"/>
    <w:rsid w:val="0086293E"/>
    <w:rsid w:val="008630A9"/>
    <w:rsid w:val="008636E4"/>
    <w:rsid w:val="00864454"/>
    <w:rsid w:val="008660C2"/>
    <w:rsid w:val="00866F13"/>
    <w:rsid w:val="00873A02"/>
    <w:rsid w:val="00873CDF"/>
    <w:rsid w:val="00873FC5"/>
    <w:rsid w:val="008765F7"/>
    <w:rsid w:val="0087701E"/>
    <w:rsid w:val="008813D6"/>
    <w:rsid w:val="00882259"/>
    <w:rsid w:val="00883EDA"/>
    <w:rsid w:val="00884BD6"/>
    <w:rsid w:val="00884D4E"/>
    <w:rsid w:val="008869A9"/>
    <w:rsid w:val="00887500"/>
    <w:rsid w:val="00887501"/>
    <w:rsid w:val="00890220"/>
    <w:rsid w:val="00892F88"/>
    <w:rsid w:val="008944C6"/>
    <w:rsid w:val="00895037"/>
    <w:rsid w:val="00895D0D"/>
    <w:rsid w:val="0089611A"/>
    <w:rsid w:val="008965E4"/>
    <w:rsid w:val="008974AA"/>
    <w:rsid w:val="008974AF"/>
    <w:rsid w:val="00897D96"/>
    <w:rsid w:val="008A075A"/>
    <w:rsid w:val="008A0FB6"/>
    <w:rsid w:val="008A1314"/>
    <w:rsid w:val="008A23A0"/>
    <w:rsid w:val="008A2ED1"/>
    <w:rsid w:val="008A3C44"/>
    <w:rsid w:val="008A3F3A"/>
    <w:rsid w:val="008A4CD5"/>
    <w:rsid w:val="008A6856"/>
    <w:rsid w:val="008A69C4"/>
    <w:rsid w:val="008A761C"/>
    <w:rsid w:val="008A762A"/>
    <w:rsid w:val="008A7938"/>
    <w:rsid w:val="008B158B"/>
    <w:rsid w:val="008B1E8B"/>
    <w:rsid w:val="008B3A8B"/>
    <w:rsid w:val="008B70C2"/>
    <w:rsid w:val="008B790B"/>
    <w:rsid w:val="008C01C5"/>
    <w:rsid w:val="008C0828"/>
    <w:rsid w:val="008C09FF"/>
    <w:rsid w:val="008C17B7"/>
    <w:rsid w:val="008C2A0D"/>
    <w:rsid w:val="008C2C96"/>
    <w:rsid w:val="008C2D48"/>
    <w:rsid w:val="008C2D9C"/>
    <w:rsid w:val="008C3BA5"/>
    <w:rsid w:val="008C3C33"/>
    <w:rsid w:val="008C655F"/>
    <w:rsid w:val="008C7B2B"/>
    <w:rsid w:val="008C7C68"/>
    <w:rsid w:val="008C7C97"/>
    <w:rsid w:val="008D036C"/>
    <w:rsid w:val="008D0A7A"/>
    <w:rsid w:val="008D0D1A"/>
    <w:rsid w:val="008D150F"/>
    <w:rsid w:val="008D2162"/>
    <w:rsid w:val="008D21F5"/>
    <w:rsid w:val="008D2C39"/>
    <w:rsid w:val="008D32EC"/>
    <w:rsid w:val="008D4255"/>
    <w:rsid w:val="008D472C"/>
    <w:rsid w:val="008D4AC1"/>
    <w:rsid w:val="008D4CDB"/>
    <w:rsid w:val="008D66F8"/>
    <w:rsid w:val="008D6A6D"/>
    <w:rsid w:val="008D6FBA"/>
    <w:rsid w:val="008D73CB"/>
    <w:rsid w:val="008D7BA7"/>
    <w:rsid w:val="008D7F05"/>
    <w:rsid w:val="008E09DB"/>
    <w:rsid w:val="008E0C72"/>
    <w:rsid w:val="008E0E28"/>
    <w:rsid w:val="008E2DDE"/>
    <w:rsid w:val="008E37CD"/>
    <w:rsid w:val="008E4559"/>
    <w:rsid w:val="008E75DA"/>
    <w:rsid w:val="008E7FD5"/>
    <w:rsid w:val="008F276E"/>
    <w:rsid w:val="008F2991"/>
    <w:rsid w:val="008F47EC"/>
    <w:rsid w:val="008F53AE"/>
    <w:rsid w:val="009037F9"/>
    <w:rsid w:val="009039B4"/>
    <w:rsid w:val="009045F7"/>
    <w:rsid w:val="00904738"/>
    <w:rsid w:val="0090504C"/>
    <w:rsid w:val="0090541D"/>
    <w:rsid w:val="009057B9"/>
    <w:rsid w:val="00906646"/>
    <w:rsid w:val="0090755C"/>
    <w:rsid w:val="00911ACE"/>
    <w:rsid w:val="00911C0C"/>
    <w:rsid w:val="00912B95"/>
    <w:rsid w:val="00913A9E"/>
    <w:rsid w:val="00913B32"/>
    <w:rsid w:val="00913CCD"/>
    <w:rsid w:val="009145DF"/>
    <w:rsid w:val="00914B2A"/>
    <w:rsid w:val="009174A6"/>
    <w:rsid w:val="009206E8"/>
    <w:rsid w:val="0092147B"/>
    <w:rsid w:val="009245F2"/>
    <w:rsid w:val="009255D5"/>
    <w:rsid w:val="009266A4"/>
    <w:rsid w:val="00926913"/>
    <w:rsid w:val="00930321"/>
    <w:rsid w:val="009320A9"/>
    <w:rsid w:val="00933505"/>
    <w:rsid w:val="009340B8"/>
    <w:rsid w:val="00934E1F"/>
    <w:rsid w:val="00936B86"/>
    <w:rsid w:val="0094305C"/>
    <w:rsid w:val="00943A2E"/>
    <w:rsid w:val="00946138"/>
    <w:rsid w:val="00950447"/>
    <w:rsid w:val="00951328"/>
    <w:rsid w:val="009525E7"/>
    <w:rsid w:val="009538BB"/>
    <w:rsid w:val="00953995"/>
    <w:rsid w:val="00953C52"/>
    <w:rsid w:val="00953E8D"/>
    <w:rsid w:val="0095428D"/>
    <w:rsid w:val="00956FB3"/>
    <w:rsid w:val="00956FB7"/>
    <w:rsid w:val="0095736E"/>
    <w:rsid w:val="00961F02"/>
    <w:rsid w:val="00961F27"/>
    <w:rsid w:val="00962B9E"/>
    <w:rsid w:val="00963690"/>
    <w:rsid w:val="009640F2"/>
    <w:rsid w:val="009641D7"/>
    <w:rsid w:val="00964803"/>
    <w:rsid w:val="00966E45"/>
    <w:rsid w:val="009706F4"/>
    <w:rsid w:val="00971756"/>
    <w:rsid w:val="00972D76"/>
    <w:rsid w:val="00974341"/>
    <w:rsid w:val="00976D47"/>
    <w:rsid w:val="00976EC4"/>
    <w:rsid w:val="00981921"/>
    <w:rsid w:val="00983031"/>
    <w:rsid w:val="00983909"/>
    <w:rsid w:val="0098520F"/>
    <w:rsid w:val="00985B2A"/>
    <w:rsid w:val="00985FE1"/>
    <w:rsid w:val="0098657F"/>
    <w:rsid w:val="0099156E"/>
    <w:rsid w:val="00991B19"/>
    <w:rsid w:val="00993A7D"/>
    <w:rsid w:val="00994812"/>
    <w:rsid w:val="009A0AF3"/>
    <w:rsid w:val="009A34F8"/>
    <w:rsid w:val="009A3BB4"/>
    <w:rsid w:val="009A404E"/>
    <w:rsid w:val="009A55F1"/>
    <w:rsid w:val="009A5AEA"/>
    <w:rsid w:val="009A5D9F"/>
    <w:rsid w:val="009A62F3"/>
    <w:rsid w:val="009B0EE0"/>
    <w:rsid w:val="009B1F8E"/>
    <w:rsid w:val="009B4569"/>
    <w:rsid w:val="009B756B"/>
    <w:rsid w:val="009B79AA"/>
    <w:rsid w:val="009C052E"/>
    <w:rsid w:val="009C112B"/>
    <w:rsid w:val="009C3021"/>
    <w:rsid w:val="009C4983"/>
    <w:rsid w:val="009C4FE5"/>
    <w:rsid w:val="009C7986"/>
    <w:rsid w:val="009C7C9B"/>
    <w:rsid w:val="009D0B99"/>
    <w:rsid w:val="009D1EE7"/>
    <w:rsid w:val="009D30F2"/>
    <w:rsid w:val="009D4555"/>
    <w:rsid w:val="009D6548"/>
    <w:rsid w:val="009D7511"/>
    <w:rsid w:val="009D7902"/>
    <w:rsid w:val="009D7DC4"/>
    <w:rsid w:val="009E0C84"/>
    <w:rsid w:val="009E0CB3"/>
    <w:rsid w:val="009E7111"/>
    <w:rsid w:val="009F20CE"/>
    <w:rsid w:val="009F448C"/>
    <w:rsid w:val="009F46D1"/>
    <w:rsid w:val="009F47B3"/>
    <w:rsid w:val="009F52F1"/>
    <w:rsid w:val="00A002A2"/>
    <w:rsid w:val="00A00A2A"/>
    <w:rsid w:val="00A01B61"/>
    <w:rsid w:val="00A025D2"/>
    <w:rsid w:val="00A02FCD"/>
    <w:rsid w:val="00A03338"/>
    <w:rsid w:val="00A035A7"/>
    <w:rsid w:val="00A038BC"/>
    <w:rsid w:val="00A06640"/>
    <w:rsid w:val="00A067FD"/>
    <w:rsid w:val="00A06EFB"/>
    <w:rsid w:val="00A07D0A"/>
    <w:rsid w:val="00A10CAA"/>
    <w:rsid w:val="00A124A1"/>
    <w:rsid w:val="00A125E6"/>
    <w:rsid w:val="00A12EC8"/>
    <w:rsid w:val="00A146EA"/>
    <w:rsid w:val="00A14CC4"/>
    <w:rsid w:val="00A157E2"/>
    <w:rsid w:val="00A16947"/>
    <w:rsid w:val="00A170B9"/>
    <w:rsid w:val="00A1735C"/>
    <w:rsid w:val="00A176B4"/>
    <w:rsid w:val="00A22663"/>
    <w:rsid w:val="00A2301D"/>
    <w:rsid w:val="00A23996"/>
    <w:rsid w:val="00A24414"/>
    <w:rsid w:val="00A252E7"/>
    <w:rsid w:val="00A26F45"/>
    <w:rsid w:val="00A275E0"/>
    <w:rsid w:val="00A31493"/>
    <w:rsid w:val="00A32042"/>
    <w:rsid w:val="00A34190"/>
    <w:rsid w:val="00A3493C"/>
    <w:rsid w:val="00A34EBB"/>
    <w:rsid w:val="00A405D1"/>
    <w:rsid w:val="00A416C9"/>
    <w:rsid w:val="00A41B6C"/>
    <w:rsid w:val="00A41BAC"/>
    <w:rsid w:val="00A421E1"/>
    <w:rsid w:val="00A4522B"/>
    <w:rsid w:val="00A46009"/>
    <w:rsid w:val="00A50FA0"/>
    <w:rsid w:val="00A51F7A"/>
    <w:rsid w:val="00A52C34"/>
    <w:rsid w:val="00A535F3"/>
    <w:rsid w:val="00A539CB"/>
    <w:rsid w:val="00A53EB3"/>
    <w:rsid w:val="00A567A6"/>
    <w:rsid w:val="00A6152C"/>
    <w:rsid w:val="00A61766"/>
    <w:rsid w:val="00A62468"/>
    <w:rsid w:val="00A632D4"/>
    <w:rsid w:val="00A63FAC"/>
    <w:rsid w:val="00A640E3"/>
    <w:rsid w:val="00A64C42"/>
    <w:rsid w:val="00A65A9B"/>
    <w:rsid w:val="00A708DC"/>
    <w:rsid w:val="00A70D4B"/>
    <w:rsid w:val="00A717FE"/>
    <w:rsid w:val="00A721DB"/>
    <w:rsid w:val="00A72559"/>
    <w:rsid w:val="00A74C90"/>
    <w:rsid w:val="00A754CA"/>
    <w:rsid w:val="00A763BE"/>
    <w:rsid w:val="00A76473"/>
    <w:rsid w:val="00A80F88"/>
    <w:rsid w:val="00A814AF"/>
    <w:rsid w:val="00A82C4A"/>
    <w:rsid w:val="00A82D01"/>
    <w:rsid w:val="00A83A64"/>
    <w:rsid w:val="00A85D78"/>
    <w:rsid w:val="00A865CB"/>
    <w:rsid w:val="00A87EEF"/>
    <w:rsid w:val="00A910EA"/>
    <w:rsid w:val="00A952BC"/>
    <w:rsid w:val="00A97E65"/>
    <w:rsid w:val="00AA11D5"/>
    <w:rsid w:val="00AA1420"/>
    <w:rsid w:val="00AA3922"/>
    <w:rsid w:val="00AA5186"/>
    <w:rsid w:val="00AA5B3B"/>
    <w:rsid w:val="00AA7C1E"/>
    <w:rsid w:val="00AB1028"/>
    <w:rsid w:val="00AB260B"/>
    <w:rsid w:val="00AB3383"/>
    <w:rsid w:val="00AB70BF"/>
    <w:rsid w:val="00AC2EA0"/>
    <w:rsid w:val="00AC560E"/>
    <w:rsid w:val="00AC5EA1"/>
    <w:rsid w:val="00AC68C2"/>
    <w:rsid w:val="00AC6B96"/>
    <w:rsid w:val="00AD02AF"/>
    <w:rsid w:val="00AD28BB"/>
    <w:rsid w:val="00AD2EB3"/>
    <w:rsid w:val="00AD2F46"/>
    <w:rsid w:val="00AD36F2"/>
    <w:rsid w:val="00AD3946"/>
    <w:rsid w:val="00AD3A50"/>
    <w:rsid w:val="00AD49A2"/>
    <w:rsid w:val="00AD5769"/>
    <w:rsid w:val="00AD6F37"/>
    <w:rsid w:val="00AD7212"/>
    <w:rsid w:val="00AD7B84"/>
    <w:rsid w:val="00AE04F2"/>
    <w:rsid w:val="00AE092D"/>
    <w:rsid w:val="00AE18F9"/>
    <w:rsid w:val="00AE2A9D"/>
    <w:rsid w:val="00AE4407"/>
    <w:rsid w:val="00AE49F1"/>
    <w:rsid w:val="00AE5242"/>
    <w:rsid w:val="00AE5AD6"/>
    <w:rsid w:val="00AE74EA"/>
    <w:rsid w:val="00AF089F"/>
    <w:rsid w:val="00AF11BA"/>
    <w:rsid w:val="00AF150D"/>
    <w:rsid w:val="00AF15C7"/>
    <w:rsid w:val="00AF1C40"/>
    <w:rsid w:val="00AF2A70"/>
    <w:rsid w:val="00AF3CD8"/>
    <w:rsid w:val="00AF5AFE"/>
    <w:rsid w:val="00AF5D11"/>
    <w:rsid w:val="00B008CE"/>
    <w:rsid w:val="00B00EA2"/>
    <w:rsid w:val="00B017F8"/>
    <w:rsid w:val="00B01918"/>
    <w:rsid w:val="00B01BDA"/>
    <w:rsid w:val="00B01BDB"/>
    <w:rsid w:val="00B01EA1"/>
    <w:rsid w:val="00B020BD"/>
    <w:rsid w:val="00B038D5"/>
    <w:rsid w:val="00B05039"/>
    <w:rsid w:val="00B052B8"/>
    <w:rsid w:val="00B05628"/>
    <w:rsid w:val="00B05982"/>
    <w:rsid w:val="00B06021"/>
    <w:rsid w:val="00B06133"/>
    <w:rsid w:val="00B06348"/>
    <w:rsid w:val="00B07035"/>
    <w:rsid w:val="00B076F3"/>
    <w:rsid w:val="00B100B9"/>
    <w:rsid w:val="00B104F6"/>
    <w:rsid w:val="00B11897"/>
    <w:rsid w:val="00B1236D"/>
    <w:rsid w:val="00B128ED"/>
    <w:rsid w:val="00B13A3D"/>
    <w:rsid w:val="00B13FE8"/>
    <w:rsid w:val="00B146C4"/>
    <w:rsid w:val="00B16731"/>
    <w:rsid w:val="00B20F95"/>
    <w:rsid w:val="00B22F1F"/>
    <w:rsid w:val="00B2346A"/>
    <w:rsid w:val="00B25781"/>
    <w:rsid w:val="00B26283"/>
    <w:rsid w:val="00B27DF4"/>
    <w:rsid w:val="00B30212"/>
    <w:rsid w:val="00B30396"/>
    <w:rsid w:val="00B304E8"/>
    <w:rsid w:val="00B31694"/>
    <w:rsid w:val="00B3211D"/>
    <w:rsid w:val="00B3284F"/>
    <w:rsid w:val="00B32B75"/>
    <w:rsid w:val="00B33802"/>
    <w:rsid w:val="00B33A9C"/>
    <w:rsid w:val="00B3420E"/>
    <w:rsid w:val="00B355E8"/>
    <w:rsid w:val="00B377C8"/>
    <w:rsid w:val="00B37913"/>
    <w:rsid w:val="00B42FEC"/>
    <w:rsid w:val="00B436D9"/>
    <w:rsid w:val="00B44181"/>
    <w:rsid w:val="00B442F4"/>
    <w:rsid w:val="00B44600"/>
    <w:rsid w:val="00B447E3"/>
    <w:rsid w:val="00B450E3"/>
    <w:rsid w:val="00B45122"/>
    <w:rsid w:val="00B46394"/>
    <w:rsid w:val="00B46924"/>
    <w:rsid w:val="00B47A2D"/>
    <w:rsid w:val="00B51741"/>
    <w:rsid w:val="00B52F1B"/>
    <w:rsid w:val="00B53867"/>
    <w:rsid w:val="00B54CF1"/>
    <w:rsid w:val="00B54FD2"/>
    <w:rsid w:val="00B567E3"/>
    <w:rsid w:val="00B57E8B"/>
    <w:rsid w:val="00B60321"/>
    <w:rsid w:val="00B60A8B"/>
    <w:rsid w:val="00B639A0"/>
    <w:rsid w:val="00B644DF"/>
    <w:rsid w:val="00B66F44"/>
    <w:rsid w:val="00B67203"/>
    <w:rsid w:val="00B6793B"/>
    <w:rsid w:val="00B700C3"/>
    <w:rsid w:val="00B714F1"/>
    <w:rsid w:val="00B72126"/>
    <w:rsid w:val="00B75363"/>
    <w:rsid w:val="00B75FD9"/>
    <w:rsid w:val="00B771EA"/>
    <w:rsid w:val="00B8048D"/>
    <w:rsid w:val="00B80AD9"/>
    <w:rsid w:val="00B81141"/>
    <w:rsid w:val="00B8193C"/>
    <w:rsid w:val="00B82373"/>
    <w:rsid w:val="00B85441"/>
    <w:rsid w:val="00B87C46"/>
    <w:rsid w:val="00B9008B"/>
    <w:rsid w:val="00B90583"/>
    <w:rsid w:val="00B90BF2"/>
    <w:rsid w:val="00B92ED7"/>
    <w:rsid w:val="00B94130"/>
    <w:rsid w:val="00B95C18"/>
    <w:rsid w:val="00B9647B"/>
    <w:rsid w:val="00B977E2"/>
    <w:rsid w:val="00B97B0C"/>
    <w:rsid w:val="00BA0401"/>
    <w:rsid w:val="00BA101D"/>
    <w:rsid w:val="00BA109B"/>
    <w:rsid w:val="00BA1F97"/>
    <w:rsid w:val="00BA3062"/>
    <w:rsid w:val="00BA313C"/>
    <w:rsid w:val="00BA349C"/>
    <w:rsid w:val="00BA3F67"/>
    <w:rsid w:val="00BA405E"/>
    <w:rsid w:val="00BA470D"/>
    <w:rsid w:val="00BA4746"/>
    <w:rsid w:val="00BA6322"/>
    <w:rsid w:val="00BA6470"/>
    <w:rsid w:val="00BA6EBD"/>
    <w:rsid w:val="00BA7562"/>
    <w:rsid w:val="00BA7735"/>
    <w:rsid w:val="00BA7A27"/>
    <w:rsid w:val="00BB1214"/>
    <w:rsid w:val="00BB1E95"/>
    <w:rsid w:val="00BB4379"/>
    <w:rsid w:val="00BB54E3"/>
    <w:rsid w:val="00BB5A1F"/>
    <w:rsid w:val="00BB7BF5"/>
    <w:rsid w:val="00BB7EEF"/>
    <w:rsid w:val="00BC02B6"/>
    <w:rsid w:val="00BC06AD"/>
    <w:rsid w:val="00BC196F"/>
    <w:rsid w:val="00BC2989"/>
    <w:rsid w:val="00BC3862"/>
    <w:rsid w:val="00BC3F07"/>
    <w:rsid w:val="00BC4A21"/>
    <w:rsid w:val="00BC6453"/>
    <w:rsid w:val="00BC6933"/>
    <w:rsid w:val="00BC79A5"/>
    <w:rsid w:val="00BD136B"/>
    <w:rsid w:val="00BD1CDE"/>
    <w:rsid w:val="00BD1DBD"/>
    <w:rsid w:val="00BD2A30"/>
    <w:rsid w:val="00BD2E37"/>
    <w:rsid w:val="00BD3E72"/>
    <w:rsid w:val="00BD5709"/>
    <w:rsid w:val="00BE1D13"/>
    <w:rsid w:val="00BE2159"/>
    <w:rsid w:val="00BE4C1C"/>
    <w:rsid w:val="00BE5559"/>
    <w:rsid w:val="00BE6457"/>
    <w:rsid w:val="00BE6C23"/>
    <w:rsid w:val="00BE7331"/>
    <w:rsid w:val="00BE7AC0"/>
    <w:rsid w:val="00BE7F9B"/>
    <w:rsid w:val="00BF124F"/>
    <w:rsid w:val="00BF2E45"/>
    <w:rsid w:val="00BF34F8"/>
    <w:rsid w:val="00BF3DE8"/>
    <w:rsid w:val="00BF3F0E"/>
    <w:rsid w:val="00BF5033"/>
    <w:rsid w:val="00BF5CBC"/>
    <w:rsid w:val="00BF767E"/>
    <w:rsid w:val="00C006EF"/>
    <w:rsid w:val="00C00896"/>
    <w:rsid w:val="00C01914"/>
    <w:rsid w:val="00C01C41"/>
    <w:rsid w:val="00C01CC3"/>
    <w:rsid w:val="00C01E46"/>
    <w:rsid w:val="00C0406C"/>
    <w:rsid w:val="00C055FE"/>
    <w:rsid w:val="00C05C79"/>
    <w:rsid w:val="00C14B33"/>
    <w:rsid w:val="00C14F01"/>
    <w:rsid w:val="00C15FBC"/>
    <w:rsid w:val="00C169F4"/>
    <w:rsid w:val="00C17B3F"/>
    <w:rsid w:val="00C2022B"/>
    <w:rsid w:val="00C21318"/>
    <w:rsid w:val="00C22184"/>
    <w:rsid w:val="00C22BC0"/>
    <w:rsid w:val="00C24664"/>
    <w:rsid w:val="00C2769D"/>
    <w:rsid w:val="00C27D36"/>
    <w:rsid w:val="00C30104"/>
    <w:rsid w:val="00C30964"/>
    <w:rsid w:val="00C3315E"/>
    <w:rsid w:val="00C3380B"/>
    <w:rsid w:val="00C3456C"/>
    <w:rsid w:val="00C349B7"/>
    <w:rsid w:val="00C349D8"/>
    <w:rsid w:val="00C36023"/>
    <w:rsid w:val="00C37E60"/>
    <w:rsid w:val="00C404B3"/>
    <w:rsid w:val="00C407B8"/>
    <w:rsid w:val="00C412B5"/>
    <w:rsid w:val="00C439BE"/>
    <w:rsid w:val="00C44516"/>
    <w:rsid w:val="00C446F5"/>
    <w:rsid w:val="00C44BDC"/>
    <w:rsid w:val="00C45EF8"/>
    <w:rsid w:val="00C477AF"/>
    <w:rsid w:val="00C47990"/>
    <w:rsid w:val="00C50021"/>
    <w:rsid w:val="00C523D5"/>
    <w:rsid w:val="00C53E25"/>
    <w:rsid w:val="00C54012"/>
    <w:rsid w:val="00C5455A"/>
    <w:rsid w:val="00C54F6F"/>
    <w:rsid w:val="00C557E0"/>
    <w:rsid w:val="00C55D78"/>
    <w:rsid w:val="00C60580"/>
    <w:rsid w:val="00C63337"/>
    <w:rsid w:val="00C671E0"/>
    <w:rsid w:val="00C67B44"/>
    <w:rsid w:val="00C67BDA"/>
    <w:rsid w:val="00C67EEA"/>
    <w:rsid w:val="00C704BD"/>
    <w:rsid w:val="00C71489"/>
    <w:rsid w:val="00C73E04"/>
    <w:rsid w:val="00C7490C"/>
    <w:rsid w:val="00C752BD"/>
    <w:rsid w:val="00C82B23"/>
    <w:rsid w:val="00C82F32"/>
    <w:rsid w:val="00C82FA1"/>
    <w:rsid w:val="00C840F2"/>
    <w:rsid w:val="00C84563"/>
    <w:rsid w:val="00C85970"/>
    <w:rsid w:val="00C85F0D"/>
    <w:rsid w:val="00C8615C"/>
    <w:rsid w:val="00C8711F"/>
    <w:rsid w:val="00C9143D"/>
    <w:rsid w:val="00C91E97"/>
    <w:rsid w:val="00C939EE"/>
    <w:rsid w:val="00C945A9"/>
    <w:rsid w:val="00C95125"/>
    <w:rsid w:val="00C95CD3"/>
    <w:rsid w:val="00C971D3"/>
    <w:rsid w:val="00CA03CD"/>
    <w:rsid w:val="00CA19C5"/>
    <w:rsid w:val="00CA2685"/>
    <w:rsid w:val="00CA3324"/>
    <w:rsid w:val="00CA438B"/>
    <w:rsid w:val="00CA520D"/>
    <w:rsid w:val="00CA680D"/>
    <w:rsid w:val="00CA6DFD"/>
    <w:rsid w:val="00CA6EBF"/>
    <w:rsid w:val="00CB037C"/>
    <w:rsid w:val="00CB0759"/>
    <w:rsid w:val="00CB0BD7"/>
    <w:rsid w:val="00CB0D67"/>
    <w:rsid w:val="00CB1531"/>
    <w:rsid w:val="00CB1679"/>
    <w:rsid w:val="00CB1D92"/>
    <w:rsid w:val="00CB31CD"/>
    <w:rsid w:val="00CB373F"/>
    <w:rsid w:val="00CB4443"/>
    <w:rsid w:val="00CB5D45"/>
    <w:rsid w:val="00CB6610"/>
    <w:rsid w:val="00CB6D6E"/>
    <w:rsid w:val="00CC0023"/>
    <w:rsid w:val="00CC0511"/>
    <w:rsid w:val="00CC0FD7"/>
    <w:rsid w:val="00CC1AD3"/>
    <w:rsid w:val="00CC3155"/>
    <w:rsid w:val="00CC3307"/>
    <w:rsid w:val="00CC36FD"/>
    <w:rsid w:val="00CC608A"/>
    <w:rsid w:val="00CD059D"/>
    <w:rsid w:val="00CD15F9"/>
    <w:rsid w:val="00CD1635"/>
    <w:rsid w:val="00CD30C7"/>
    <w:rsid w:val="00CD58A4"/>
    <w:rsid w:val="00CD5C07"/>
    <w:rsid w:val="00CD5EBB"/>
    <w:rsid w:val="00CD68FA"/>
    <w:rsid w:val="00CD6E83"/>
    <w:rsid w:val="00CD7350"/>
    <w:rsid w:val="00CD75BD"/>
    <w:rsid w:val="00CD7AB7"/>
    <w:rsid w:val="00CE08E5"/>
    <w:rsid w:val="00CE2382"/>
    <w:rsid w:val="00CE26BC"/>
    <w:rsid w:val="00CE3723"/>
    <w:rsid w:val="00CE5FE9"/>
    <w:rsid w:val="00CE7CFB"/>
    <w:rsid w:val="00CF0DF7"/>
    <w:rsid w:val="00CF2426"/>
    <w:rsid w:val="00CF3730"/>
    <w:rsid w:val="00CF3FD0"/>
    <w:rsid w:val="00CF41A8"/>
    <w:rsid w:val="00CF4D0F"/>
    <w:rsid w:val="00CF4E9C"/>
    <w:rsid w:val="00CF5AE8"/>
    <w:rsid w:val="00CF5D39"/>
    <w:rsid w:val="00D00788"/>
    <w:rsid w:val="00D01407"/>
    <w:rsid w:val="00D03BDE"/>
    <w:rsid w:val="00D03CF9"/>
    <w:rsid w:val="00D03D07"/>
    <w:rsid w:val="00D071CD"/>
    <w:rsid w:val="00D07D72"/>
    <w:rsid w:val="00D10E5B"/>
    <w:rsid w:val="00D10F5B"/>
    <w:rsid w:val="00D11040"/>
    <w:rsid w:val="00D11C6B"/>
    <w:rsid w:val="00D12B29"/>
    <w:rsid w:val="00D1380A"/>
    <w:rsid w:val="00D16480"/>
    <w:rsid w:val="00D16F9A"/>
    <w:rsid w:val="00D17FAB"/>
    <w:rsid w:val="00D20000"/>
    <w:rsid w:val="00D20F96"/>
    <w:rsid w:val="00D2246E"/>
    <w:rsid w:val="00D23891"/>
    <w:rsid w:val="00D23A07"/>
    <w:rsid w:val="00D24532"/>
    <w:rsid w:val="00D2489E"/>
    <w:rsid w:val="00D25443"/>
    <w:rsid w:val="00D265FD"/>
    <w:rsid w:val="00D27486"/>
    <w:rsid w:val="00D336C0"/>
    <w:rsid w:val="00D33F36"/>
    <w:rsid w:val="00D3667C"/>
    <w:rsid w:val="00D37C3C"/>
    <w:rsid w:val="00D37E6B"/>
    <w:rsid w:val="00D402C0"/>
    <w:rsid w:val="00D4231E"/>
    <w:rsid w:val="00D42847"/>
    <w:rsid w:val="00D42929"/>
    <w:rsid w:val="00D43076"/>
    <w:rsid w:val="00D43FAA"/>
    <w:rsid w:val="00D468ED"/>
    <w:rsid w:val="00D47400"/>
    <w:rsid w:val="00D51547"/>
    <w:rsid w:val="00D52684"/>
    <w:rsid w:val="00D52F37"/>
    <w:rsid w:val="00D53808"/>
    <w:rsid w:val="00D55441"/>
    <w:rsid w:val="00D55544"/>
    <w:rsid w:val="00D5582F"/>
    <w:rsid w:val="00D55C35"/>
    <w:rsid w:val="00D56CB8"/>
    <w:rsid w:val="00D57C62"/>
    <w:rsid w:val="00D6009B"/>
    <w:rsid w:val="00D602F3"/>
    <w:rsid w:val="00D6063A"/>
    <w:rsid w:val="00D60B24"/>
    <w:rsid w:val="00D61073"/>
    <w:rsid w:val="00D61508"/>
    <w:rsid w:val="00D61649"/>
    <w:rsid w:val="00D6261D"/>
    <w:rsid w:val="00D63026"/>
    <w:rsid w:val="00D63A87"/>
    <w:rsid w:val="00D6425D"/>
    <w:rsid w:val="00D65175"/>
    <w:rsid w:val="00D655E7"/>
    <w:rsid w:val="00D70508"/>
    <w:rsid w:val="00D70A0B"/>
    <w:rsid w:val="00D710CC"/>
    <w:rsid w:val="00D71456"/>
    <w:rsid w:val="00D714D0"/>
    <w:rsid w:val="00D718C9"/>
    <w:rsid w:val="00D71919"/>
    <w:rsid w:val="00D74536"/>
    <w:rsid w:val="00D749EE"/>
    <w:rsid w:val="00D76340"/>
    <w:rsid w:val="00D765E0"/>
    <w:rsid w:val="00D76CB7"/>
    <w:rsid w:val="00D7745D"/>
    <w:rsid w:val="00D776AF"/>
    <w:rsid w:val="00D77BF8"/>
    <w:rsid w:val="00D80625"/>
    <w:rsid w:val="00D810F0"/>
    <w:rsid w:val="00D81518"/>
    <w:rsid w:val="00D81737"/>
    <w:rsid w:val="00D81B28"/>
    <w:rsid w:val="00D82D30"/>
    <w:rsid w:val="00D8369D"/>
    <w:rsid w:val="00D8533E"/>
    <w:rsid w:val="00D8552D"/>
    <w:rsid w:val="00D87844"/>
    <w:rsid w:val="00D93A53"/>
    <w:rsid w:val="00D96B22"/>
    <w:rsid w:val="00DA1A17"/>
    <w:rsid w:val="00DA26A0"/>
    <w:rsid w:val="00DA4D86"/>
    <w:rsid w:val="00DA6716"/>
    <w:rsid w:val="00DA7706"/>
    <w:rsid w:val="00DA776D"/>
    <w:rsid w:val="00DB30A7"/>
    <w:rsid w:val="00DB4193"/>
    <w:rsid w:val="00DB510D"/>
    <w:rsid w:val="00DB553A"/>
    <w:rsid w:val="00DB6D3E"/>
    <w:rsid w:val="00DB6E71"/>
    <w:rsid w:val="00DC0336"/>
    <w:rsid w:val="00DC2C84"/>
    <w:rsid w:val="00DC3A69"/>
    <w:rsid w:val="00DC4C2A"/>
    <w:rsid w:val="00DC567B"/>
    <w:rsid w:val="00DC6297"/>
    <w:rsid w:val="00DC6599"/>
    <w:rsid w:val="00DC68DE"/>
    <w:rsid w:val="00DC7B34"/>
    <w:rsid w:val="00DD0F35"/>
    <w:rsid w:val="00DD1D32"/>
    <w:rsid w:val="00DD2A11"/>
    <w:rsid w:val="00DD3179"/>
    <w:rsid w:val="00DD3C51"/>
    <w:rsid w:val="00DD48C6"/>
    <w:rsid w:val="00DD4D02"/>
    <w:rsid w:val="00DD53E0"/>
    <w:rsid w:val="00DD5BD3"/>
    <w:rsid w:val="00DD6704"/>
    <w:rsid w:val="00DD69F4"/>
    <w:rsid w:val="00DD791A"/>
    <w:rsid w:val="00DE0881"/>
    <w:rsid w:val="00DE1224"/>
    <w:rsid w:val="00DE12ED"/>
    <w:rsid w:val="00DE13BE"/>
    <w:rsid w:val="00DE2227"/>
    <w:rsid w:val="00DE23D4"/>
    <w:rsid w:val="00DE2A28"/>
    <w:rsid w:val="00DE3E74"/>
    <w:rsid w:val="00DE4773"/>
    <w:rsid w:val="00DE5C3D"/>
    <w:rsid w:val="00DE5C9A"/>
    <w:rsid w:val="00DE6910"/>
    <w:rsid w:val="00DE787D"/>
    <w:rsid w:val="00DE7C33"/>
    <w:rsid w:val="00DF0153"/>
    <w:rsid w:val="00DF03D3"/>
    <w:rsid w:val="00DF0430"/>
    <w:rsid w:val="00DF065F"/>
    <w:rsid w:val="00DF144F"/>
    <w:rsid w:val="00DF1864"/>
    <w:rsid w:val="00DF1BA8"/>
    <w:rsid w:val="00DF294B"/>
    <w:rsid w:val="00DF31E4"/>
    <w:rsid w:val="00DF325D"/>
    <w:rsid w:val="00DF3293"/>
    <w:rsid w:val="00DF331C"/>
    <w:rsid w:val="00DF399A"/>
    <w:rsid w:val="00DF51C0"/>
    <w:rsid w:val="00DF6607"/>
    <w:rsid w:val="00DF7104"/>
    <w:rsid w:val="00DF7263"/>
    <w:rsid w:val="00E009BC"/>
    <w:rsid w:val="00E019B5"/>
    <w:rsid w:val="00E03A26"/>
    <w:rsid w:val="00E04E21"/>
    <w:rsid w:val="00E0557C"/>
    <w:rsid w:val="00E076A5"/>
    <w:rsid w:val="00E079E3"/>
    <w:rsid w:val="00E142E0"/>
    <w:rsid w:val="00E150D6"/>
    <w:rsid w:val="00E15C65"/>
    <w:rsid w:val="00E15D45"/>
    <w:rsid w:val="00E17744"/>
    <w:rsid w:val="00E17A71"/>
    <w:rsid w:val="00E20096"/>
    <w:rsid w:val="00E202FF"/>
    <w:rsid w:val="00E21E81"/>
    <w:rsid w:val="00E228F4"/>
    <w:rsid w:val="00E2563C"/>
    <w:rsid w:val="00E259BE"/>
    <w:rsid w:val="00E25BB0"/>
    <w:rsid w:val="00E25ED0"/>
    <w:rsid w:val="00E25F0B"/>
    <w:rsid w:val="00E32454"/>
    <w:rsid w:val="00E32D71"/>
    <w:rsid w:val="00E33A97"/>
    <w:rsid w:val="00E343DF"/>
    <w:rsid w:val="00E346EB"/>
    <w:rsid w:val="00E34959"/>
    <w:rsid w:val="00E34E23"/>
    <w:rsid w:val="00E36250"/>
    <w:rsid w:val="00E3641E"/>
    <w:rsid w:val="00E36AD3"/>
    <w:rsid w:val="00E379B4"/>
    <w:rsid w:val="00E37C75"/>
    <w:rsid w:val="00E40DF9"/>
    <w:rsid w:val="00E42565"/>
    <w:rsid w:val="00E466EE"/>
    <w:rsid w:val="00E46AE9"/>
    <w:rsid w:val="00E47E35"/>
    <w:rsid w:val="00E506D5"/>
    <w:rsid w:val="00E50A87"/>
    <w:rsid w:val="00E50D8E"/>
    <w:rsid w:val="00E5338F"/>
    <w:rsid w:val="00E5421E"/>
    <w:rsid w:val="00E5537F"/>
    <w:rsid w:val="00E61D7D"/>
    <w:rsid w:val="00E62540"/>
    <w:rsid w:val="00E62838"/>
    <w:rsid w:val="00E62EF9"/>
    <w:rsid w:val="00E637D9"/>
    <w:rsid w:val="00E6493C"/>
    <w:rsid w:val="00E662CC"/>
    <w:rsid w:val="00E665FC"/>
    <w:rsid w:val="00E67748"/>
    <w:rsid w:val="00E71003"/>
    <w:rsid w:val="00E71925"/>
    <w:rsid w:val="00E72C0A"/>
    <w:rsid w:val="00E72DE8"/>
    <w:rsid w:val="00E73C3F"/>
    <w:rsid w:val="00E764EF"/>
    <w:rsid w:val="00E81B07"/>
    <w:rsid w:val="00E82F66"/>
    <w:rsid w:val="00E8326D"/>
    <w:rsid w:val="00E83F5D"/>
    <w:rsid w:val="00E84704"/>
    <w:rsid w:val="00E8494F"/>
    <w:rsid w:val="00E84A0A"/>
    <w:rsid w:val="00E8583A"/>
    <w:rsid w:val="00E87557"/>
    <w:rsid w:val="00E87D74"/>
    <w:rsid w:val="00E91C7E"/>
    <w:rsid w:val="00E940AB"/>
    <w:rsid w:val="00E94B67"/>
    <w:rsid w:val="00E95946"/>
    <w:rsid w:val="00E96D00"/>
    <w:rsid w:val="00EA0226"/>
    <w:rsid w:val="00EA1205"/>
    <w:rsid w:val="00EA14E0"/>
    <w:rsid w:val="00EA154C"/>
    <w:rsid w:val="00EA1B4A"/>
    <w:rsid w:val="00EA1FD3"/>
    <w:rsid w:val="00EA2C04"/>
    <w:rsid w:val="00EA3294"/>
    <w:rsid w:val="00EA3922"/>
    <w:rsid w:val="00EA3B9C"/>
    <w:rsid w:val="00EA5DF7"/>
    <w:rsid w:val="00EA6A47"/>
    <w:rsid w:val="00EA7CEF"/>
    <w:rsid w:val="00EB21CF"/>
    <w:rsid w:val="00EB2900"/>
    <w:rsid w:val="00EB2D21"/>
    <w:rsid w:val="00EB5334"/>
    <w:rsid w:val="00EB5B28"/>
    <w:rsid w:val="00EB5E15"/>
    <w:rsid w:val="00EB64A5"/>
    <w:rsid w:val="00EB6DF2"/>
    <w:rsid w:val="00EB735B"/>
    <w:rsid w:val="00EB771C"/>
    <w:rsid w:val="00EC2ABD"/>
    <w:rsid w:val="00EC30E1"/>
    <w:rsid w:val="00EC69A8"/>
    <w:rsid w:val="00EC75C3"/>
    <w:rsid w:val="00ED2981"/>
    <w:rsid w:val="00ED2B63"/>
    <w:rsid w:val="00ED44EB"/>
    <w:rsid w:val="00ED5CEB"/>
    <w:rsid w:val="00ED60A7"/>
    <w:rsid w:val="00ED6AE7"/>
    <w:rsid w:val="00ED6E27"/>
    <w:rsid w:val="00ED79B6"/>
    <w:rsid w:val="00ED79D4"/>
    <w:rsid w:val="00ED7D91"/>
    <w:rsid w:val="00EE02CC"/>
    <w:rsid w:val="00EE1736"/>
    <w:rsid w:val="00EE442E"/>
    <w:rsid w:val="00EE4B0E"/>
    <w:rsid w:val="00EE5669"/>
    <w:rsid w:val="00EE5C01"/>
    <w:rsid w:val="00EE6A7F"/>
    <w:rsid w:val="00EE772D"/>
    <w:rsid w:val="00EF06BE"/>
    <w:rsid w:val="00EF0FBD"/>
    <w:rsid w:val="00EF1023"/>
    <w:rsid w:val="00EF27BD"/>
    <w:rsid w:val="00EF387B"/>
    <w:rsid w:val="00EF40FB"/>
    <w:rsid w:val="00EF4769"/>
    <w:rsid w:val="00EF5B9B"/>
    <w:rsid w:val="00F0009F"/>
    <w:rsid w:val="00F00102"/>
    <w:rsid w:val="00F00B33"/>
    <w:rsid w:val="00F0114E"/>
    <w:rsid w:val="00F021AD"/>
    <w:rsid w:val="00F02A72"/>
    <w:rsid w:val="00F02DED"/>
    <w:rsid w:val="00F03286"/>
    <w:rsid w:val="00F033A4"/>
    <w:rsid w:val="00F03625"/>
    <w:rsid w:val="00F038EF"/>
    <w:rsid w:val="00F05ED4"/>
    <w:rsid w:val="00F07821"/>
    <w:rsid w:val="00F07B4E"/>
    <w:rsid w:val="00F11420"/>
    <w:rsid w:val="00F11FEE"/>
    <w:rsid w:val="00F13A60"/>
    <w:rsid w:val="00F13F27"/>
    <w:rsid w:val="00F141C4"/>
    <w:rsid w:val="00F14E81"/>
    <w:rsid w:val="00F161A0"/>
    <w:rsid w:val="00F162A4"/>
    <w:rsid w:val="00F163CE"/>
    <w:rsid w:val="00F17F01"/>
    <w:rsid w:val="00F22B5D"/>
    <w:rsid w:val="00F235A4"/>
    <w:rsid w:val="00F237F7"/>
    <w:rsid w:val="00F237F8"/>
    <w:rsid w:val="00F2437C"/>
    <w:rsid w:val="00F24624"/>
    <w:rsid w:val="00F24B68"/>
    <w:rsid w:val="00F25277"/>
    <w:rsid w:val="00F27228"/>
    <w:rsid w:val="00F273FF"/>
    <w:rsid w:val="00F27C41"/>
    <w:rsid w:val="00F27E74"/>
    <w:rsid w:val="00F30217"/>
    <w:rsid w:val="00F30ACD"/>
    <w:rsid w:val="00F3199A"/>
    <w:rsid w:val="00F321B4"/>
    <w:rsid w:val="00F325D5"/>
    <w:rsid w:val="00F35980"/>
    <w:rsid w:val="00F35A9D"/>
    <w:rsid w:val="00F36896"/>
    <w:rsid w:val="00F36A05"/>
    <w:rsid w:val="00F36A82"/>
    <w:rsid w:val="00F376DE"/>
    <w:rsid w:val="00F3784D"/>
    <w:rsid w:val="00F40EE4"/>
    <w:rsid w:val="00F4334A"/>
    <w:rsid w:val="00F50447"/>
    <w:rsid w:val="00F5211E"/>
    <w:rsid w:val="00F52DF5"/>
    <w:rsid w:val="00F53B94"/>
    <w:rsid w:val="00F53BE9"/>
    <w:rsid w:val="00F55277"/>
    <w:rsid w:val="00F55A69"/>
    <w:rsid w:val="00F56CAB"/>
    <w:rsid w:val="00F56D8B"/>
    <w:rsid w:val="00F57A20"/>
    <w:rsid w:val="00F61366"/>
    <w:rsid w:val="00F61A47"/>
    <w:rsid w:val="00F61DDF"/>
    <w:rsid w:val="00F62979"/>
    <w:rsid w:val="00F641EC"/>
    <w:rsid w:val="00F64926"/>
    <w:rsid w:val="00F65F8C"/>
    <w:rsid w:val="00F66602"/>
    <w:rsid w:val="00F66CBF"/>
    <w:rsid w:val="00F671CE"/>
    <w:rsid w:val="00F7002A"/>
    <w:rsid w:val="00F71115"/>
    <w:rsid w:val="00F71415"/>
    <w:rsid w:val="00F729BE"/>
    <w:rsid w:val="00F72BB9"/>
    <w:rsid w:val="00F74085"/>
    <w:rsid w:val="00F75795"/>
    <w:rsid w:val="00F774B1"/>
    <w:rsid w:val="00F77BE8"/>
    <w:rsid w:val="00F80B8A"/>
    <w:rsid w:val="00F8107F"/>
    <w:rsid w:val="00F818F3"/>
    <w:rsid w:val="00F819EA"/>
    <w:rsid w:val="00F83AC0"/>
    <w:rsid w:val="00F83DAE"/>
    <w:rsid w:val="00F84B6E"/>
    <w:rsid w:val="00F84CBF"/>
    <w:rsid w:val="00F85283"/>
    <w:rsid w:val="00F85AA7"/>
    <w:rsid w:val="00F860E7"/>
    <w:rsid w:val="00F86DB3"/>
    <w:rsid w:val="00F8711A"/>
    <w:rsid w:val="00F91322"/>
    <w:rsid w:val="00F920A6"/>
    <w:rsid w:val="00F92952"/>
    <w:rsid w:val="00F931C9"/>
    <w:rsid w:val="00F93563"/>
    <w:rsid w:val="00F938B7"/>
    <w:rsid w:val="00F939F5"/>
    <w:rsid w:val="00F97642"/>
    <w:rsid w:val="00FA0018"/>
    <w:rsid w:val="00FA0557"/>
    <w:rsid w:val="00FA0670"/>
    <w:rsid w:val="00FA09F1"/>
    <w:rsid w:val="00FA16DE"/>
    <w:rsid w:val="00FA2681"/>
    <w:rsid w:val="00FA2868"/>
    <w:rsid w:val="00FA2F46"/>
    <w:rsid w:val="00FA45B5"/>
    <w:rsid w:val="00FA5355"/>
    <w:rsid w:val="00FA5A79"/>
    <w:rsid w:val="00FA6F3F"/>
    <w:rsid w:val="00FB12A8"/>
    <w:rsid w:val="00FB1412"/>
    <w:rsid w:val="00FB258A"/>
    <w:rsid w:val="00FB2EDC"/>
    <w:rsid w:val="00FB3D08"/>
    <w:rsid w:val="00FB4720"/>
    <w:rsid w:val="00FB6984"/>
    <w:rsid w:val="00FC01E6"/>
    <w:rsid w:val="00FC2419"/>
    <w:rsid w:val="00FC31A4"/>
    <w:rsid w:val="00FC329C"/>
    <w:rsid w:val="00FC3EF0"/>
    <w:rsid w:val="00FC4707"/>
    <w:rsid w:val="00FC4DA4"/>
    <w:rsid w:val="00FC6CA2"/>
    <w:rsid w:val="00FC7453"/>
    <w:rsid w:val="00FC7883"/>
    <w:rsid w:val="00FD160E"/>
    <w:rsid w:val="00FD1F03"/>
    <w:rsid w:val="00FD31FD"/>
    <w:rsid w:val="00FD3B3D"/>
    <w:rsid w:val="00FD3E33"/>
    <w:rsid w:val="00FD419A"/>
    <w:rsid w:val="00FD4641"/>
    <w:rsid w:val="00FD47F7"/>
    <w:rsid w:val="00FD4BCC"/>
    <w:rsid w:val="00FD52B0"/>
    <w:rsid w:val="00FD5E4E"/>
    <w:rsid w:val="00FD69A4"/>
    <w:rsid w:val="00FD6FA1"/>
    <w:rsid w:val="00FE021F"/>
    <w:rsid w:val="00FE0E4A"/>
    <w:rsid w:val="00FE1A65"/>
    <w:rsid w:val="00FE26A1"/>
    <w:rsid w:val="00FE2E8D"/>
    <w:rsid w:val="00FE3DA0"/>
    <w:rsid w:val="00FE449B"/>
    <w:rsid w:val="00FE46B6"/>
    <w:rsid w:val="00FE4882"/>
    <w:rsid w:val="00FE49BE"/>
    <w:rsid w:val="00FE4A80"/>
    <w:rsid w:val="00FE4DEB"/>
    <w:rsid w:val="00FE63B7"/>
    <w:rsid w:val="00FF0715"/>
    <w:rsid w:val="00FF211B"/>
    <w:rsid w:val="00FF3972"/>
    <w:rsid w:val="00FF44EE"/>
    <w:rsid w:val="00FF4C76"/>
    <w:rsid w:val="00FF4E12"/>
    <w:rsid w:val="00FF4F99"/>
    <w:rsid w:val="00FF58B1"/>
    <w:rsid w:val="00FF5A99"/>
    <w:rsid w:val="00FF6094"/>
    <w:rsid w:val="00FF688F"/>
    <w:rsid w:val="00FF7430"/>
    <w:rsid w:val="00FF79B9"/>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9FCF0C"/>
  <w15:docId w15:val="{4C987A5F-89C4-4EB7-9AF9-2E860470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CBF"/>
    <w:pPr>
      <w:jc w:val="both"/>
    </w:pPr>
    <w:rPr>
      <w:rFonts w:ascii="Bookman Old Style" w:eastAsia="Times New Roman" w:hAnsi="Bookman Old Style"/>
      <w:sz w:val="24"/>
      <w:szCs w:val="24"/>
      <w:lang w:val="es-ES" w:eastAsia="es-ES"/>
    </w:rPr>
  </w:style>
  <w:style w:type="paragraph" w:styleId="Ttulo1">
    <w:name w:val="heading 1"/>
    <w:basedOn w:val="Normal"/>
    <w:next w:val="Normal"/>
    <w:link w:val="Ttulo1Car"/>
    <w:qFormat/>
    <w:rsid w:val="00445D79"/>
    <w:pPr>
      <w:keepNext/>
      <w:jc w:val="center"/>
      <w:outlineLvl w:val="0"/>
    </w:pPr>
    <w:rPr>
      <w:rFonts w:ascii="CG Times" w:hAnsi="CG Times"/>
      <w:b/>
      <w:szCs w:val="20"/>
      <w:lang w:val="es-CO"/>
    </w:rPr>
  </w:style>
  <w:style w:type="paragraph" w:styleId="Ttulo2">
    <w:name w:val="heading 2"/>
    <w:basedOn w:val="Normal"/>
    <w:next w:val="Normal"/>
    <w:link w:val="Ttulo2Car"/>
    <w:uiPriority w:val="9"/>
    <w:semiHidden/>
    <w:unhideWhenUsed/>
    <w:qFormat/>
    <w:rsid w:val="00833B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445D79"/>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445D79"/>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262CBF"/>
    <w:pPr>
      <w:keepNext/>
      <w:numPr>
        <w:numId w:val="2"/>
      </w:numPr>
      <w:spacing w:before="360" w:after="240"/>
      <w:outlineLvl w:val="4"/>
    </w:pPr>
    <w:rPr>
      <w:rFonts w:cs="Arial"/>
      <w:b/>
      <w:snapToGrid w:val="0"/>
      <w:color w:val="000000"/>
      <w:spacing w:val="20"/>
      <w:lang w:val="es-CO"/>
    </w:rPr>
  </w:style>
  <w:style w:type="paragraph" w:styleId="Ttulo7">
    <w:name w:val="heading 7"/>
    <w:basedOn w:val="Normal"/>
    <w:next w:val="Normal"/>
    <w:link w:val="Ttulo7Car"/>
    <w:uiPriority w:val="9"/>
    <w:semiHidden/>
    <w:unhideWhenUsed/>
    <w:qFormat/>
    <w:rsid w:val="00102E0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5D79"/>
    <w:rPr>
      <w:rFonts w:ascii="CG Times" w:eastAsia="Times New Roman" w:hAnsi="CG Times" w:cs="Times New Roman"/>
      <w:b/>
      <w:sz w:val="24"/>
      <w:szCs w:val="20"/>
      <w:lang w:eastAsia="es-ES"/>
    </w:rPr>
  </w:style>
  <w:style w:type="character" w:customStyle="1" w:styleId="Ttulo3Car">
    <w:name w:val="Título 3 Car"/>
    <w:link w:val="Ttulo3"/>
    <w:rsid w:val="00445D79"/>
    <w:rPr>
      <w:rFonts w:ascii="CG Times" w:eastAsia="Times New Roman" w:hAnsi="CG Times" w:cs="Times New Roman"/>
      <w:b/>
      <w:snapToGrid w:val="0"/>
      <w:color w:val="000000"/>
      <w:sz w:val="24"/>
      <w:szCs w:val="20"/>
      <w:lang w:val="es-ES_tradnl" w:eastAsia="es-ES"/>
    </w:rPr>
  </w:style>
  <w:style w:type="character" w:customStyle="1" w:styleId="Ttulo4Car">
    <w:name w:val="Título 4 Car"/>
    <w:link w:val="Ttulo4"/>
    <w:rsid w:val="00445D79"/>
    <w:rPr>
      <w:rFonts w:ascii="Arial" w:eastAsia="Times New Roman" w:hAnsi="Arial" w:cs="Arial"/>
      <w:b/>
      <w:snapToGrid w:val="0"/>
      <w:color w:val="000000"/>
      <w:spacing w:val="20"/>
      <w:sz w:val="20"/>
      <w:szCs w:val="20"/>
      <w:lang w:val="es-ES_tradnl" w:eastAsia="es-ES"/>
    </w:rPr>
  </w:style>
  <w:style w:type="character" w:customStyle="1" w:styleId="Ttulo5Car">
    <w:name w:val="Título 5 Car"/>
    <w:link w:val="Ttulo5"/>
    <w:rsid w:val="00262CBF"/>
    <w:rPr>
      <w:rFonts w:ascii="Bookman Old Style" w:eastAsia="Times New Roman" w:hAnsi="Bookman Old Style" w:cs="Arial"/>
      <w:b/>
      <w:snapToGrid w:val="0"/>
      <w:color w:val="000000"/>
      <w:spacing w:val="20"/>
      <w:sz w:val="24"/>
      <w:szCs w:val="24"/>
      <w:lang w:eastAsia="es-ES"/>
    </w:rPr>
  </w:style>
  <w:style w:type="paragraph" w:styleId="Encabezado">
    <w:name w:val="header"/>
    <w:basedOn w:val="Normal"/>
    <w:link w:val="EncabezadoCar"/>
    <w:uiPriority w:val="99"/>
    <w:rsid w:val="00445D79"/>
    <w:pPr>
      <w:tabs>
        <w:tab w:val="center" w:pos="4252"/>
        <w:tab w:val="right" w:pos="8504"/>
      </w:tabs>
    </w:pPr>
    <w:rPr>
      <w:rFonts w:ascii="CG Times" w:hAnsi="CG Times"/>
      <w:szCs w:val="20"/>
      <w:lang w:val="es-CO"/>
    </w:rPr>
  </w:style>
  <w:style w:type="character" w:customStyle="1" w:styleId="EncabezadoCar">
    <w:name w:val="Encabezado Car"/>
    <w:link w:val="Encabezado"/>
    <w:uiPriority w:val="99"/>
    <w:rsid w:val="00445D79"/>
    <w:rPr>
      <w:rFonts w:ascii="CG Times" w:eastAsia="Times New Roman" w:hAnsi="CG Times" w:cs="Times New Roman"/>
      <w:sz w:val="24"/>
      <w:szCs w:val="20"/>
      <w:lang w:eastAsia="es-ES"/>
    </w:rPr>
  </w:style>
  <w:style w:type="paragraph" w:styleId="Textoindependiente">
    <w:name w:val="Body Text"/>
    <w:basedOn w:val="Normal"/>
    <w:link w:val="TextoindependienteCar"/>
    <w:uiPriority w:val="99"/>
    <w:semiHidden/>
    <w:rsid w:val="00445D79"/>
    <w:pPr>
      <w:jc w:val="center"/>
    </w:pPr>
    <w:rPr>
      <w:rFonts w:ascii="Arial" w:hAnsi="Arial" w:cs="Arial"/>
      <w:b/>
      <w:bCs/>
    </w:rPr>
  </w:style>
  <w:style w:type="character" w:customStyle="1" w:styleId="TextoindependienteCar">
    <w:name w:val="Texto independiente Car"/>
    <w:link w:val="Textoindependiente"/>
    <w:uiPriority w:val="99"/>
    <w:semiHidden/>
    <w:rsid w:val="00445D79"/>
    <w:rPr>
      <w:rFonts w:ascii="Arial" w:eastAsia="Times New Roman" w:hAnsi="Arial" w:cs="Arial"/>
      <w:b/>
      <w:bCs/>
      <w:sz w:val="24"/>
      <w:szCs w:val="24"/>
      <w:lang w:val="es-ES" w:eastAsia="es-ES"/>
    </w:rPr>
  </w:style>
  <w:style w:type="paragraph" w:styleId="Prrafodelista">
    <w:name w:val="List Paragraph"/>
    <w:basedOn w:val="Normal"/>
    <w:link w:val="PrrafodelistaCar"/>
    <w:uiPriority w:val="34"/>
    <w:qFormat/>
    <w:rsid w:val="00DC6599"/>
    <w:pPr>
      <w:numPr>
        <w:numId w:val="3"/>
      </w:numPr>
    </w:pPr>
    <w:rPr>
      <w:spacing w:val="-3"/>
      <w:szCs w:val="20"/>
      <w:lang w:val="es-CO"/>
    </w:rPr>
  </w:style>
  <w:style w:type="character" w:customStyle="1" w:styleId="PrrafodelistaCar">
    <w:name w:val="Párrafo de lista Car"/>
    <w:link w:val="Prrafodelista"/>
    <w:uiPriority w:val="34"/>
    <w:rsid w:val="00DC6599"/>
    <w:rPr>
      <w:rFonts w:ascii="Bookman Old Style" w:eastAsia="Times New Roman" w:hAnsi="Bookman Old Style"/>
      <w:spacing w:val="-3"/>
      <w:sz w:val="24"/>
      <w:lang w:eastAsia="es-ES"/>
    </w:rPr>
  </w:style>
  <w:style w:type="paragraph" w:styleId="Textodebloque">
    <w:name w:val="Block Text"/>
    <w:basedOn w:val="Normal"/>
    <w:uiPriority w:val="99"/>
    <w:rsid w:val="00445D79"/>
    <w:pPr>
      <w:suppressAutoHyphens/>
      <w:spacing w:after="240"/>
      <w:ind w:right="788"/>
    </w:pPr>
    <w:rPr>
      <w:rFonts w:ascii="Arial" w:hAnsi="Arial"/>
      <w:spacing w:val="-3"/>
      <w:szCs w:val="20"/>
      <w:lang w:val="es-ES_tradnl"/>
    </w:rPr>
  </w:style>
  <w:style w:type="paragraph" w:styleId="Sinespaciado">
    <w:name w:val="No Spacing"/>
    <w:uiPriority w:val="1"/>
    <w:qFormat/>
    <w:rsid w:val="00445D79"/>
    <w:rPr>
      <w:rFonts w:eastAsia="Times New Roman" w:cs="Calibri"/>
      <w:sz w:val="22"/>
      <w:szCs w:val="22"/>
      <w:lang w:val="es-ES" w:eastAsia="en-US"/>
    </w:rPr>
  </w:style>
  <w:style w:type="paragraph" w:styleId="Textocomentario">
    <w:name w:val="annotation text"/>
    <w:basedOn w:val="Normal"/>
    <w:link w:val="TextocomentarioCar"/>
    <w:uiPriority w:val="99"/>
    <w:semiHidden/>
    <w:rsid w:val="00445D79"/>
    <w:rPr>
      <w:rFonts w:ascii="CG Times" w:hAnsi="CG Times"/>
      <w:sz w:val="20"/>
      <w:szCs w:val="20"/>
      <w:lang w:val="es-CO"/>
    </w:rPr>
  </w:style>
  <w:style w:type="character" w:customStyle="1" w:styleId="TextocomentarioCar">
    <w:name w:val="Texto comentario Car"/>
    <w:link w:val="Textocomentario"/>
    <w:uiPriority w:val="99"/>
    <w:semiHidden/>
    <w:rsid w:val="00445D79"/>
    <w:rPr>
      <w:rFonts w:ascii="CG Times" w:eastAsia="Times New Roman" w:hAnsi="CG Times" w:cs="Times New Roman"/>
      <w:sz w:val="20"/>
      <w:szCs w:val="20"/>
      <w:lang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texto de nota al "/>
    <w:basedOn w:val="Normal"/>
    <w:link w:val="TextonotapieCar"/>
    <w:uiPriority w:val="99"/>
    <w:semiHidden/>
    <w:rsid w:val="00445D79"/>
    <w:rPr>
      <w:rFonts w:eastAsia="SimSun"/>
      <w:sz w:val="20"/>
      <w:szCs w:val="20"/>
      <w:lang w:val="es-CO" w:eastAsia="zh-CN"/>
    </w:rPr>
  </w:style>
  <w:style w:type="character" w:customStyle="1" w:styleId="TextonotapieCar">
    <w:name w:val="Texto nota pie Car"/>
    <w:aliases w:val="Footnote Text Char Char Char Char Char Car1,Footnote Text Char Char Char Char Car1,Footnote reference Car1,FA Fu Car1,texto de nota al pie Car1,Footnote Text Char Char Char Car1,Footnote Text Char Car1,texto de nota al  Car1"/>
    <w:link w:val="Textonotapie"/>
    <w:uiPriority w:val="99"/>
    <w:semiHidden/>
    <w:rsid w:val="00445D79"/>
    <w:rPr>
      <w:rFonts w:ascii="Times New Roman" w:eastAsia="SimSun" w:hAnsi="Times New Roman" w:cs="Times New Roman"/>
      <w:sz w:val="20"/>
      <w:szCs w:val="20"/>
      <w:lang w:eastAsia="zh-CN"/>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fr,Ref"/>
    <w:rsid w:val="00445D79"/>
    <w:rPr>
      <w:vertAlign w:val="superscript"/>
    </w:rPr>
  </w:style>
  <w:style w:type="paragraph" w:styleId="NormalWeb">
    <w:name w:val="Normal (Web)"/>
    <w:basedOn w:val="Normal"/>
    <w:uiPriority w:val="99"/>
    <w:unhideWhenUsed/>
    <w:rsid w:val="009C4FE5"/>
    <w:pPr>
      <w:spacing w:before="100" w:beforeAutospacing="1" w:after="100" w:afterAutospacing="1"/>
    </w:pPr>
    <w:rPr>
      <w:color w:val="000000"/>
      <w:lang w:val="es-CO" w:eastAsia="es-CO"/>
    </w:rPr>
  </w:style>
  <w:style w:type="paragraph" w:styleId="Textodeglobo">
    <w:name w:val="Balloon Text"/>
    <w:basedOn w:val="Normal"/>
    <w:link w:val="TextodegloboCar"/>
    <w:uiPriority w:val="99"/>
    <w:semiHidden/>
    <w:unhideWhenUsed/>
    <w:rsid w:val="00B87C46"/>
    <w:rPr>
      <w:rFonts w:ascii="Tahoma" w:hAnsi="Tahoma" w:cs="Tahoma"/>
      <w:sz w:val="16"/>
      <w:szCs w:val="16"/>
    </w:rPr>
  </w:style>
  <w:style w:type="character" w:customStyle="1" w:styleId="TextodegloboCar">
    <w:name w:val="Texto de globo Car"/>
    <w:link w:val="Textodeglobo"/>
    <w:uiPriority w:val="99"/>
    <w:semiHidden/>
    <w:rsid w:val="00B87C46"/>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D071CD"/>
    <w:pPr>
      <w:tabs>
        <w:tab w:val="center" w:pos="4419"/>
        <w:tab w:val="right" w:pos="8838"/>
      </w:tabs>
    </w:pPr>
  </w:style>
  <w:style w:type="character" w:customStyle="1" w:styleId="PiedepginaCar">
    <w:name w:val="Pie de página Car"/>
    <w:link w:val="Piedepgina"/>
    <w:uiPriority w:val="99"/>
    <w:rsid w:val="00D071CD"/>
    <w:rPr>
      <w:rFonts w:ascii="Times New Roman" w:eastAsia="Times New Roman" w:hAnsi="Times New Roman" w:cs="Times New Roman"/>
      <w:sz w:val="24"/>
      <w:szCs w:val="24"/>
      <w:lang w:val="es-ES" w:eastAsia="es-ES"/>
    </w:rPr>
  </w:style>
  <w:style w:type="character" w:customStyle="1" w:styleId="CharStyle9">
    <w:name w:val="Char Style 9"/>
    <w:link w:val="Style2"/>
    <w:uiPriority w:val="99"/>
    <w:locked/>
    <w:rsid w:val="00EA1FD3"/>
    <w:rPr>
      <w:rFonts w:ascii="Arial" w:hAnsi="Arial" w:cs="Arial"/>
      <w:sz w:val="14"/>
      <w:szCs w:val="14"/>
      <w:shd w:val="clear" w:color="auto" w:fill="FFFFFF"/>
    </w:rPr>
  </w:style>
  <w:style w:type="paragraph" w:customStyle="1" w:styleId="Style2">
    <w:name w:val="Style 2"/>
    <w:basedOn w:val="Normal"/>
    <w:link w:val="CharStyle9"/>
    <w:uiPriority w:val="99"/>
    <w:rsid w:val="00EA1FD3"/>
    <w:pPr>
      <w:widowControl w:val="0"/>
      <w:shd w:val="clear" w:color="auto" w:fill="FFFFFF"/>
      <w:spacing w:before="120" w:line="240" w:lineRule="atLeast"/>
      <w:ind w:hanging="1420"/>
    </w:pPr>
    <w:rPr>
      <w:rFonts w:ascii="Arial" w:eastAsia="Calibri" w:hAnsi="Arial" w:cs="Arial"/>
      <w:sz w:val="14"/>
      <w:szCs w:val="14"/>
      <w:lang w:val="es-CO" w:eastAsia="es-CO"/>
    </w:rPr>
  </w:style>
  <w:style w:type="character" w:styleId="Refdecomentario">
    <w:name w:val="annotation reference"/>
    <w:uiPriority w:val="99"/>
    <w:semiHidden/>
    <w:unhideWhenUsed/>
    <w:rsid w:val="000074D5"/>
    <w:rPr>
      <w:sz w:val="16"/>
      <w:szCs w:val="16"/>
    </w:rPr>
  </w:style>
  <w:style w:type="table" w:styleId="Tablaconcuadrcula">
    <w:name w:val="Table Grid"/>
    <w:basedOn w:val="Tablanormal"/>
    <w:uiPriority w:val="59"/>
    <w:rsid w:val="00BA0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2">
    <w:name w:val="Estilo2"/>
    <w:basedOn w:val="Normal"/>
    <w:link w:val="Estilo2Car"/>
    <w:rsid w:val="00514544"/>
    <w:pPr>
      <w:keepNext/>
      <w:widowControl w:val="0"/>
      <w:numPr>
        <w:numId w:val="1"/>
      </w:numPr>
      <w:adjustRightInd w:val="0"/>
      <w:spacing w:before="240" w:after="240"/>
      <w:textAlignment w:val="baseline"/>
      <w:outlineLvl w:val="0"/>
    </w:pPr>
    <w:rPr>
      <w:b/>
      <w:bCs/>
      <w:lang w:eastAsia="ar-SA"/>
    </w:rPr>
  </w:style>
  <w:style w:type="character" w:customStyle="1" w:styleId="Estilo2Car">
    <w:name w:val="Estilo2 Car"/>
    <w:link w:val="Estilo2"/>
    <w:rsid w:val="00514544"/>
    <w:rPr>
      <w:rFonts w:ascii="Bookman Old Style" w:eastAsia="Times New Roman" w:hAnsi="Bookman Old Style"/>
      <w:b/>
      <w:bCs/>
      <w:sz w:val="24"/>
      <w:szCs w:val="24"/>
      <w:lang w:val="es-ES" w:eastAsia="ar-SA"/>
    </w:rPr>
  </w:style>
  <w:style w:type="paragraph" w:styleId="Revisin">
    <w:name w:val="Revision"/>
    <w:hidden/>
    <w:uiPriority w:val="99"/>
    <w:semiHidden/>
    <w:rsid w:val="002322D9"/>
    <w:rPr>
      <w:rFonts w:ascii="Times New Roman" w:eastAsia="Times New Roman" w:hAnsi="Times New Roman"/>
      <w:sz w:val="24"/>
      <w:szCs w:val="24"/>
      <w:lang w:val="es-ES" w:eastAsia="es-ES"/>
    </w:rPr>
  </w:style>
  <w:style w:type="paragraph" w:styleId="Subttulo">
    <w:name w:val="Subtitle"/>
    <w:basedOn w:val="Ttulo5"/>
    <w:next w:val="Normal"/>
    <w:link w:val="SubttuloCar"/>
    <w:uiPriority w:val="11"/>
    <w:qFormat/>
    <w:rsid w:val="00262CBF"/>
    <w:pPr>
      <w:numPr>
        <w:numId w:val="0"/>
      </w:numPr>
      <w:jc w:val="center"/>
    </w:pPr>
  </w:style>
  <w:style w:type="character" w:customStyle="1" w:styleId="SubttuloCar">
    <w:name w:val="Subtítulo Car"/>
    <w:basedOn w:val="Fuentedeprrafopredeter"/>
    <w:link w:val="Subttulo"/>
    <w:uiPriority w:val="11"/>
    <w:rsid w:val="00262CBF"/>
    <w:rPr>
      <w:rFonts w:ascii="Bookman Old Style" w:eastAsia="Times New Roman" w:hAnsi="Bookman Old Style" w:cs="Arial"/>
      <w:b/>
      <w:snapToGrid w:val="0"/>
      <w:color w:val="000000"/>
      <w:spacing w:val="20"/>
      <w:sz w:val="24"/>
      <w:szCs w:val="24"/>
      <w:lang w:eastAsia="es-ES"/>
    </w:rPr>
  </w:style>
  <w:style w:type="paragraph" w:styleId="Cita">
    <w:name w:val="Quote"/>
    <w:basedOn w:val="Normal"/>
    <w:next w:val="Normal"/>
    <w:link w:val="CitaCar"/>
    <w:uiPriority w:val="29"/>
    <w:qFormat/>
    <w:rsid w:val="00F55A69"/>
    <w:pPr>
      <w:spacing w:before="120" w:after="120"/>
      <w:ind w:left="567" w:right="567"/>
    </w:pPr>
    <w:rPr>
      <w:i/>
      <w:iCs/>
      <w:color w:val="000000" w:themeColor="text1"/>
      <w:sz w:val="20"/>
    </w:rPr>
  </w:style>
  <w:style w:type="character" w:customStyle="1" w:styleId="CitaCar">
    <w:name w:val="Cita Car"/>
    <w:basedOn w:val="Fuentedeprrafopredeter"/>
    <w:link w:val="Cita"/>
    <w:uiPriority w:val="29"/>
    <w:rsid w:val="00F55A69"/>
    <w:rPr>
      <w:rFonts w:ascii="Bookman Old Style" w:eastAsia="Times New Roman" w:hAnsi="Bookman Old Style"/>
      <w:i/>
      <w:iCs/>
      <w:color w:val="000000" w:themeColor="text1"/>
      <w:szCs w:val="24"/>
      <w:lang w:val="es-ES" w:eastAsia="es-ES"/>
    </w:rPr>
  </w:style>
  <w:style w:type="character" w:customStyle="1" w:styleId="CharStyle3">
    <w:name w:val="Char Style 3"/>
    <w:basedOn w:val="Fuentedeprrafopredeter"/>
    <w:uiPriority w:val="99"/>
    <w:locked/>
    <w:rsid w:val="00AE74EA"/>
    <w:rPr>
      <w:rFonts w:ascii="Arial" w:hAnsi="Arial" w:cs="Arial"/>
      <w:i/>
      <w:iCs/>
      <w:sz w:val="23"/>
      <w:szCs w:val="23"/>
      <w:u w:val="none"/>
    </w:rPr>
  </w:style>
  <w:style w:type="character" w:customStyle="1" w:styleId="CharStyle5">
    <w:name w:val="Char Style 5"/>
    <w:basedOn w:val="CharStyle3"/>
    <w:uiPriority w:val="99"/>
    <w:rsid w:val="00AE74EA"/>
    <w:rPr>
      <w:rFonts w:ascii="Arial" w:hAnsi="Arial" w:cs="Arial"/>
      <w:b/>
      <w:bCs/>
      <w:i/>
      <w:iCs/>
      <w:sz w:val="23"/>
      <w:szCs w:val="23"/>
      <w:u w:val="none"/>
    </w:rPr>
  </w:style>
  <w:style w:type="character" w:customStyle="1" w:styleId="CharStyle24">
    <w:name w:val="Char Style 24"/>
    <w:basedOn w:val="Fuentedeprrafopredeter"/>
    <w:uiPriority w:val="99"/>
    <w:rsid w:val="00AE74EA"/>
    <w:rPr>
      <w:rFonts w:ascii="Arial" w:hAnsi="Arial" w:cs="Arial"/>
      <w:b/>
      <w:bCs/>
      <w:i/>
      <w:iCs/>
      <w:sz w:val="13"/>
      <w:szCs w:val="13"/>
      <w:u w:val="none"/>
    </w:rPr>
  </w:style>
  <w:style w:type="character" w:customStyle="1" w:styleId="CharStyle20">
    <w:name w:val="Char Style 20"/>
    <w:basedOn w:val="Fuentedeprrafopredeter"/>
    <w:link w:val="Style19"/>
    <w:uiPriority w:val="99"/>
    <w:locked/>
    <w:rsid w:val="00702F9A"/>
    <w:rPr>
      <w:rFonts w:ascii="Arial" w:hAnsi="Arial" w:cs="Arial"/>
      <w:sz w:val="30"/>
      <w:szCs w:val="30"/>
      <w:shd w:val="clear" w:color="auto" w:fill="FFFFFF"/>
    </w:rPr>
  </w:style>
  <w:style w:type="character" w:customStyle="1" w:styleId="CharStyle86Exact">
    <w:name w:val="Char Style 86 Exact"/>
    <w:basedOn w:val="Fuentedeprrafopredeter"/>
    <w:link w:val="Style85"/>
    <w:uiPriority w:val="99"/>
    <w:locked/>
    <w:rsid w:val="00702F9A"/>
    <w:rPr>
      <w:rFonts w:ascii="Arial" w:hAnsi="Arial" w:cs="Arial"/>
      <w:b/>
      <w:bCs/>
      <w:spacing w:val="-3"/>
      <w:shd w:val="clear" w:color="auto" w:fill="FFFFFF"/>
    </w:rPr>
  </w:style>
  <w:style w:type="character" w:customStyle="1" w:styleId="CharStyle97Exact">
    <w:name w:val="Char Style 97 Exact"/>
    <w:basedOn w:val="Fuentedeprrafopredeter"/>
    <w:link w:val="Style96"/>
    <w:uiPriority w:val="99"/>
    <w:locked/>
    <w:rsid w:val="00702F9A"/>
    <w:rPr>
      <w:rFonts w:ascii="Arial" w:hAnsi="Arial" w:cs="Arial"/>
      <w:spacing w:val="-5"/>
      <w:sz w:val="22"/>
      <w:szCs w:val="22"/>
      <w:shd w:val="clear" w:color="auto" w:fill="FFFFFF"/>
    </w:rPr>
  </w:style>
  <w:style w:type="character" w:customStyle="1" w:styleId="CharStyle100Exact">
    <w:name w:val="Char Style 100 Exact"/>
    <w:basedOn w:val="Fuentedeprrafopredeter"/>
    <w:uiPriority w:val="99"/>
    <w:rsid w:val="00702F9A"/>
    <w:rPr>
      <w:rFonts w:ascii="Arial" w:hAnsi="Arial" w:cs="Arial"/>
      <w:spacing w:val="-5"/>
      <w:sz w:val="22"/>
      <w:szCs w:val="22"/>
      <w:u w:val="none"/>
    </w:rPr>
  </w:style>
  <w:style w:type="paragraph" w:customStyle="1" w:styleId="Style19">
    <w:name w:val="Style 19"/>
    <w:basedOn w:val="Normal"/>
    <w:link w:val="CharStyle20"/>
    <w:uiPriority w:val="99"/>
    <w:rsid w:val="00702F9A"/>
    <w:pPr>
      <w:widowControl w:val="0"/>
      <w:shd w:val="clear" w:color="auto" w:fill="FFFFFF"/>
      <w:spacing w:line="240" w:lineRule="atLeast"/>
      <w:ind w:hanging="380"/>
      <w:jc w:val="left"/>
    </w:pPr>
    <w:rPr>
      <w:rFonts w:ascii="Arial" w:eastAsia="Calibri" w:hAnsi="Arial" w:cs="Arial"/>
      <w:sz w:val="30"/>
      <w:szCs w:val="30"/>
      <w:lang w:val="es-CO" w:eastAsia="es-CO"/>
    </w:rPr>
  </w:style>
  <w:style w:type="paragraph" w:customStyle="1" w:styleId="Style85">
    <w:name w:val="Style 85"/>
    <w:basedOn w:val="Normal"/>
    <w:link w:val="CharStyle86Exact"/>
    <w:uiPriority w:val="99"/>
    <w:rsid w:val="00702F9A"/>
    <w:pPr>
      <w:widowControl w:val="0"/>
      <w:shd w:val="clear" w:color="auto" w:fill="FFFFFF"/>
      <w:spacing w:after="60" w:line="240" w:lineRule="atLeast"/>
      <w:jc w:val="right"/>
    </w:pPr>
    <w:rPr>
      <w:rFonts w:ascii="Arial" w:eastAsia="Calibri" w:hAnsi="Arial" w:cs="Arial"/>
      <w:b/>
      <w:bCs/>
      <w:spacing w:val="-3"/>
      <w:sz w:val="20"/>
      <w:szCs w:val="20"/>
      <w:lang w:val="es-CO" w:eastAsia="es-CO"/>
    </w:rPr>
  </w:style>
  <w:style w:type="paragraph" w:customStyle="1" w:styleId="Style96">
    <w:name w:val="Style 96"/>
    <w:basedOn w:val="Normal"/>
    <w:link w:val="CharStyle97Exact"/>
    <w:uiPriority w:val="99"/>
    <w:rsid w:val="00702F9A"/>
    <w:pPr>
      <w:widowControl w:val="0"/>
      <w:shd w:val="clear" w:color="auto" w:fill="FFFFFF"/>
      <w:spacing w:line="360" w:lineRule="exact"/>
    </w:pPr>
    <w:rPr>
      <w:rFonts w:ascii="Arial" w:eastAsia="Calibri" w:hAnsi="Arial" w:cs="Arial"/>
      <w:spacing w:val="-5"/>
      <w:sz w:val="22"/>
      <w:szCs w:val="22"/>
      <w:lang w:val="es-CO" w:eastAsia="es-CO"/>
    </w:rPr>
  </w:style>
  <w:style w:type="character" w:customStyle="1" w:styleId="CharStyle4">
    <w:name w:val="Char Style 4"/>
    <w:basedOn w:val="CharStyle3"/>
    <w:uiPriority w:val="99"/>
    <w:rsid w:val="00FF211B"/>
    <w:rPr>
      <w:rFonts w:ascii="Arial" w:hAnsi="Arial" w:cs="Arial"/>
      <w:i/>
      <w:iCs/>
      <w:sz w:val="23"/>
      <w:szCs w:val="23"/>
      <w:u w:val="none"/>
    </w:rPr>
  </w:style>
  <w:style w:type="character" w:customStyle="1" w:styleId="CharStyle7">
    <w:name w:val="Char Style 7"/>
    <w:basedOn w:val="Fuentedeprrafopredeter"/>
    <w:link w:val="Style6"/>
    <w:uiPriority w:val="99"/>
    <w:rsid w:val="00FF211B"/>
    <w:rPr>
      <w:i/>
      <w:iCs/>
      <w:sz w:val="23"/>
      <w:szCs w:val="23"/>
      <w:shd w:val="clear" w:color="auto" w:fill="FFFFFF"/>
    </w:rPr>
  </w:style>
  <w:style w:type="character" w:customStyle="1" w:styleId="CharStyle8">
    <w:name w:val="Char Style 8"/>
    <w:basedOn w:val="CharStyle7"/>
    <w:uiPriority w:val="99"/>
    <w:rsid w:val="00FF211B"/>
    <w:rPr>
      <w:i w:val="0"/>
      <w:iCs w:val="0"/>
      <w:sz w:val="23"/>
      <w:szCs w:val="23"/>
      <w:shd w:val="clear" w:color="auto" w:fill="FFFFFF"/>
    </w:rPr>
  </w:style>
  <w:style w:type="paragraph" w:customStyle="1" w:styleId="Style6">
    <w:name w:val="Style 6"/>
    <w:basedOn w:val="Normal"/>
    <w:link w:val="CharStyle7"/>
    <w:uiPriority w:val="99"/>
    <w:rsid w:val="00FF211B"/>
    <w:pPr>
      <w:widowControl w:val="0"/>
      <w:shd w:val="clear" w:color="auto" w:fill="FFFFFF"/>
      <w:spacing w:before="300" w:after="480" w:line="273" w:lineRule="exact"/>
      <w:ind w:hanging="360"/>
    </w:pPr>
    <w:rPr>
      <w:rFonts w:ascii="Calibri" w:eastAsia="Calibri" w:hAnsi="Calibri"/>
      <w:i/>
      <w:iCs/>
      <w:sz w:val="23"/>
      <w:szCs w:val="23"/>
      <w:lang w:val="es-CO" w:eastAsia="es-CO"/>
    </w:rPr>
  </w:style>
  <w:style w:type="character" w:customStyle="1" w:styleId="CharStyle10">
    <w:name w:val="Char Style 10"/>
    <w:basedOn w:val="CharStyle3"/>
    <w:uiPriority w:val="99"/>
    <w:rsid w:val="00FF211B"/>
    <w:rPr>
      <w:rFonts w:ascii="Arial" w:hAnsi="Arial" w:cs="Arial"/>
      <w:b/>
      <w:bCs/>
      <w:i w:val="0"/>
      <w:iCs w:val="0"/>
      <w:sz w:val="24"/>
      <w:szCs w:val="24"/>
      <w:u w:val="none"/>
    </w:rPr>
  </w:style>
  <w:style w:type="character" w:customStyle="1" w:styleId="CharStyle11">
    <w:name w:val="Char Style 11"/>
    <w:basedOn w:val="CharStyle3"/>
    <w:uiPriority w:val="99"/>
    <w:rsid w:val="009641D7"/>
    <w:rPr>
      <w:rFonts w:ascii="Arial" w:hAnsi="Arial" w:cs="Arial"/>
      <w:b/>
      <w:bCs/>
      <w:i w:val="0"/>
      <w:iCs w:val="0"/>
      <w:sz w:val="16"/>
      <w:szCs w:val="16"/>
      <w:u w:val="none"/>
    </w:rPr>
  </w:style>
  <w:style w:type="character" w:customStyle="1" w:styleId="CharStyle12">
    <w:name w:val="Char Style 12"/>
    <w:basedOn w:val="CharStyle3"/>
    <w:uiPriority w:val="99"/>
    <w:rsid w:val="009641D7"/>
    <w:rPr>
      <w:rFonts w:ascii="Arial" w:hAnsi="Arial" w:cs="Arial"/>
      <w:b/>
      <w:bCs/>
      <w:i w:val="0"/>
      <w:iCs w:val="0"/>
      <w:sz w:val="17"/>
      <w:szCs w:val="17"/>
      <w:u w:val="none"/>
    </w:rPr>
  </w:style>
  <w:style w:type="character" w:customStyle="1" w:styleId="CharStyle13">
    <w:name w:val="Char Style 13"/>
    <w:basedOn w:val="CharStyle3"/>
    <w:uiPriority w:val="99"/>
    <w:rsid w:val="009641D7"/>
    <w:rPr>
      <w:rFonts w:ascii="Arial" w:hAnsi="Arial" w:cs="Arial"/>
      <w:i w:val="0"/>
      <w:iCs w:val="0"/>
      <w:sz w:val="17"/>
      <w:szCs w:val="17"/>
      <w:u w:val="none"/>
    </w:rPr>
  </w:style>
  <w:style w:type="paragraph" w:styleId="Asuntodelcomentario">
    <w:name w:val="annotation subject"/>
    <w:basedOn w:val="Textocomentario"/>
    <w:next w:val="Textocomentario"/>
    <w:link w:val="AsuntodelcomentarioCar"/>
    <w:uiPriority w:val="99"/>
    <w:semiHidden/>
    <w:unhideWhenUsed/>
    <w:rsid w:val="003C4633"/>
    <w:rPr>
      <w:rFonts w:ascii="Bookman Old Style" w:hAnsi="Bookman Old Style"/>
      <w:b/>
      <w:bCs/>
      <w:lang w:val="es-ES"/>
    </w:rPr>
  </w:style>
  <w:style w:type="character" w:customStyle="1" w:styleId="AsuntodelcomentarioCar">
    <w:name w:val="Asunto del comentario Car"/>
    <w:basedOn w:val="TextocomentarioCar"/>
    <w:link w:val="Asuntodelcomentario"/>
    <w:uiPriority w:val="99"/>
    <w:semiHidden/>
    <w:rsid w:val="003C4633"/>
    <w:rPr>
      <w:rFonts w:ascii="Bookman Old Style" w:eastAsia="Times New Roman" w:hAnsi="Bookman Old Style" w:cs="Times New Roman"/>
      <w:b/>
      <w:bCs/>
      <w:sz w:val="20"/>
      <w:szCs w:val="20"/>
      <w:lang w:val="es-ES" w:eastAsia="es-ES"/>
    </w:rPr>
  </w:style>
  <w:style w:type="character" w:customStyle="1" w:styleId="CharStyle15">
    <w:name w:val="Char Style 15"/>
    <w:basedOn w:val="Fuentedeprrafopredeter"/>
    <w:link w:val="Style14"/>
    <w:uiPriority w:val="99"/>
    <w:rsid w:val="008D4CDB"/>
    <w:rPr>
      <w:rFonts w:ascii="Arial" w:hAnsi="Arial" w:cs="Arial"/>
      <w:b/>
      <w:bCs/>
      <w:sz w:val="22"/>
      <w:szCs w:val="22"/>
      <w:shd w:val="clear" w:color="auto" w:fill="FFFFFF"/>
    </w:rPr>
  </w:style>
  <w:style w:type="character" w:customStyle="1" w:styleId="CharStyle17">
    <w:name w:val="Char Style 17"/>
    <w:basedOn w:val="Fuentedeprrafopredeter"/>
    <w:link w:val="Style16"/>
    <w:uiPriority w:val="99"/>
    <w:rsid w:val="008D4CDB"/>
    <w:rPr>
      <w:rFonts w:ascii="Arial" w:hAnsi="Arial" w:cs="Arial"/>
      <w:b/>
      <w:bCs/>
      <w:sz w:val="22"/>
      <w:szCs w:val="22"/>
      <w:shd w:val="clear" w:color="auto" w:fill="FFFFFF"/>
    </w:rPr>
  </w:style>
  <w:style w:type="paragraph" w:customStyle="1" w:styleId="Style14">
    <w:name w:val="Style 14"/>
    <w:basedOn w:val="Normal"/>
    <w:link w:val="CharStyle15"/>
    <w:uiPriority w:val="99"/>
    <w:rsid w:val="008D4CDB"/>
    <w:pPr>
      <w:widowControl w:val="0"/>
      <w:shd w:val="clear" w:color="auto" w:fill="FFFFFF"/>
      <w:spacing w:line="340" w:lineRule="exact"/>
      <w:outlineLvl w:val="2"/>
    </w:pPr>
    <w:rPr>
      <w:rFonts w:ascii="Arial" w:eastAsia="Calibri" w:hAnsi="Arial" w:cs="Arial"/>
      <w:b/>
      <w:bCs/>
      <w:sz w:val="22"/>
      <w:szCs w:val="22"/>
      <w:lang w:val="es-CO" w:eastAsia="es-CO"/>
    </w:rPr>
  </w:style>
  <w:style w:type="paragraph" w:customStyle="1" w:styleId="Style16">
    <w:name w:val="Style 16"/>
    <w:basedOn w:val="Normal"/>
    <w:link w:val="CharStyle17"/>
    <w:uiPriority w:val="99"/>
    <w:rsid w:val="008D4CDB"/>
    <w:pPr>
      <w:widowControl w:val="0"/>
      <w:shd w:val="clear" w:color="auto" w:fill="FFFFFF"/>
      <w:spacing w:after="240" w:line="340" w:lineRule="exact"/>
      <w:outlineLvl w:val="2"/>
    </w:pPr>
    <w:rPr>
      <w:rFonts w:ascii="Arial" w:eastAsia="Calibri" w:hAnsi="Arial" w:cs="Arial"/>
      <w:b/>
      <w:bCs/>
      <w:sz w:val="22"/>
      <w:szCs w:val="22"/>
      <w:lang w:val="es-CO" w:eastAsia="es-CO"/>
    </w:rPr>
  </w:style>
  <w:style w:type="paragraph" w:styleId="Sangradetextonormal">
    <w:name w:val="Body Text Indent"/>
    <w:basedOn w:val="Normal"/>
    <w:link w:val="SangradetextonormalCar"/>
    <w:uiPriority w:val="99"/>
    <w:semiHidden/>
    <w:unhideWhenUsed/>
    <w:rsid w:val="00203042"/>
    <w:pPr>
      <w:spacing w:after="120"/>
      <w:ind w:left="283"/>
    </w:pPr>
  </w:style>
  <w:style w:type="character" w:customStyle="1" w:styleId="SangradetextonormalCar">
    <w:name w:val="Sangría de texto normal Car"/>
    <w:basedOn w:val="Fuentedeprrafopredeter"/>
    <w:link w:val="Sangradetextonormal"/>
    <w:uiPriority w:val="99"/>
    <w:semiHidden/>
    <w:rsid w:val="00203042"/>
    <w:rPr>
      <w:rFonts w:ascii="Bookman Old Style" w:eastAsia="Times New Roman" w:hAnsi="Bookman Old Style"/>
      <w:sz w:val="24"/>
      <w:szCs w:val="24"/>
      <w:lang w:val="es-ES" w:eastAsia="es-ES"/>
    </w:rPr>
  </w:style>
  <w:style w:type="paragraph" w:styleId="Textoindependiente2">
    <w:name w:val="Body Text 2"/>
    <w:basedOn w:val="Normal"/>
    <w:link w:val="Textoindependiente2Car"/>
    <w:uiPriority w:val="99"/>
    <w:unhideWhenUsed/>
    <w:rsid w:val="00FF58B1"/>
    <w:pPr>
      <w:spacing w:after="120" w:line="480" w:lineRule="auto"/>
      <w:ind w:left="567"/>
      <w:jc w:val="left"/>
    </w:pPr>
    <w:rPr>
      <w:rFonts w:ascii="Times New Roman" w:hAnsi="Times New Roman"/>
    </w:rPr>
  </w:style>
  <w:style w:type="character" w:customStyle="1" w:styleId="Textoindependiente2Car">
    <w:name w:val="Texto independiente 2 Car"/>
    <w:basedOn w:val="Fuentedeprrafopredeter"/>
    <w:link w:val="Textoindependiente2"/>
    <w:uiPriority w:val="99"/>
    <w:rsid w:val="00FF58B1"/>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9D6548"/>
    <w:rPr>
      <w:color w:val="0000FF" w:themeColor="hyperlink"/>
      <w:u w:val="single"/>
    </w:rPr>
  </w:style>
  <w:style w:type="character" w:customStyle="1" w:styleId="Ttulo2Car">
    <w:name w:val="Título 2 Car"/>
    <w:basedOn w:val="Fuentedeprrafopredeter"/>
    <w:link w:val="Ttulo2"/>
    <w:uiPriority w:val="9"/>
    <w:semiHidden/>
    <w:rsid w:val="00833BCC"/>
    <w:rPr>
      <w:rFonts w:asciiTheme="majorHAnsi" w:eastAsiaTheme="majorEastAsia" w:hAnsiTheme="majorHAnsi" w:cstheme="majorBidi"/>
      <w:color w:val="365F91" w:themeColor="accent1" w:themeShade="BF"/>
      <w:sz w:val="26"/>
      <w:szCs w:val="26"/>
      <w:lang w:val="es-ES" w:eastAsia="es-ES"/>
    </w:rPr>
  </w:style>
  <w:style w:type="character" w:customStyle="1" w:styleId="CharacterStyle1">
    <w:name w:val="Character Style 1"/>
    <w:uiPriority w:val="99"/>
    <w:rsid w:val="00EE442E"/>
    <w:rPr>
      <w:sz w:val="20"/>
    </w:rPr>
  </w:style>
  <w:style w:type="table" w:customStyle="1" w:styleId="Tablaconcuadrcula11">
    <w:name w:val="Tabla con cuadrícula11"/>
    <w:basedOn w:val="Tablanormal"/>
    <w:uiPriority w:val="59"/>
    <w:rsid w:val="00A34EBB"/>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uentedeprrafopredeter"/>
    <w:rsid w:val="005C1AB0"/>
  </w:style>
  <w:style w:type="paragraph" w:customStyle="1" w:styleId="Style1">
    <w:name w:val="Style 1"/>
    <w:uiPriority w:val="99"/>
    <w:rsid w:val="002B446B"/>
    <w:pPr>
      <w:widowControl w:val="0"/>
      <w:autoSpaceDE w:val="0"/>
      <w:autoSpaceDN w:val="0"/>
      <w:adjustRightInd w:val="0"/>
    </w:pPr>
    <w:rPr>
      <w:rFonts w:ascii="Times New Roman" w:eastAsia="Times New Roman" w:hAnsi="Times New Roman"/>
      <w:lang w:val="en-U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texto de nota al  Car"/>
    <w:uiPriority w:val="99"/>
    <w:semiHidden/>
    <w:locked/>
    <w:rsid w:val="002B446B"/>
    <w:rPr>
      <w:rFonts w:ascii="Arial" w:hAnsi="Arial"/>
      <w:lang w:val="es-ES_tradnl"/>
    </w:rPr>
  </w:style>
  <w:style w:type="paragraph" w:customStyle="1" w:styleId="NormalDocSoporte">
    <w:name w:val="Normal DocSoporte"/>
    <w:basedOn w:val="Normal"/>
    <w:link w:val="NormalDocSoporteCar"/>
    <w:qFormat/>
    <w:rsid w:val="00AB260B"/>
    <w:pPr>
      <w:widowControl w:val="0"/>
      <w:adjustRightInd w:val="0"/>
      <w:spacing w:before="200" w:after="200"/>
      <w:ind w:right="23"/>
    </w:pPr>
    <w:rPr>
      <w:rFonts w:ascii="Arial" w:hAnsi="Arial" w:cs="Arial"/>
      <w:sz w:val="22"/>
      <w:szCs w:val="22"/>
      <w:lang w:val="es-CO"/>
    </w:rPr>
  </w:style>
  <w:style w:type="character" w:customStyle="1" w:styleId="NormalDocSoporteCar">
    <w:name w:val="Normal DocSoporte Car"/>
    <w:link w:val="NormalDocSoporte"/>
    <w:rsid w:val="00AB260B"/>
    <w:rPr>
      <w:rFonts w:ascii="Arial" w:eastAsia="Times New Roman" w:hAnsi="Arial" w:cs="Arial"/>
      <w:sz w:val="22"/>
      <w:szCs w:val="22"/>
      <w:lang w:eastAsia="es-ES"/>
    </w:rPr>
  </w:style>
  <w:style w:type="character" w:customStyle="1" w:styleId="Ttulo7Car">
    <w:name w:val="Título 7 Car"/>
    <w:basedOn w:val="Fuentedeprrafopredeter"/>
    <w:link w:val="Ttulo7"/>
    <w:uiPriority w:val="9"/>
    <w:semiHidden/>
    <w:rsid w:val="00102E06"/>
    <w:rPr>
      <w:rFonts w:asciiTheme="majorHAnsi" w:eastAsiaTheme="majorEastAsia" w:hAnsiTheme="majorHAnsi" w:cstheme="majorBidi"/>
      <w:i/>
      <w:iCs/>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541">
      <w:bodyDiv w:val="1"/>
      <w:marLeft w:val="0"/>
      <w:marRight w:val="0"/>
      <w:marTop w:val="0"/>
      <w:marBottom w:val="0"/>
      <w:divBdr>
        <w:top w:val="none" w:sz="0" w:space="0" w:color="auto"/>
        <w:left w:val="none" w:sz="0" w:space="0" w:color="auto"/>
        <w:bottom w:val="none" w:sz="0" w:space="0" w:color="auto"/>
        <w:right w:val="none" w:sz="0" w:space="0" w:color="auto"/>
      </w:divBdr>
    </w:div>
    <w:div w:id="28456167">
      <w:bodyDiv w:val="1"/>
      <w:marLeft w:val="0"/>
      <w:marRight w:val="0"/>
      <w:marTop w:val="0"/>
      <w:marBottom w:val="0"/>
      <w:divBdr>
        <w:top w:val="none" w:sz="0" w:space="0" w:color="auto"/>
        <w:left w:val="none" w:sz="0" w:space="0" w:color="auto"/>
        <w:bottom w:val="none" w:sz="0" w:space="0" w:color="auto"/>
        <w:right w:val="none" w:sz="0" w:space="0" w:color="auto"/>
      </w:divBdr>
    </w:div>
    <w:div w:id="50034276">
      <w:bodyDiv w:val="1"/>
      <w:marLeft w:val="0"/>
      <w:marRight w:val="0"/>
      <w:marTop w:val="0"/>
      <w:marBottom w:val="0"/>
      <w:divBdr>
        <w:top w:val="none" w:sz="0" w:space="0" w:color="auto"/>
        <w:left w:val="none" w:sz="0" w:space="0" w:color="auto"/>
        <w:bottom w:val="none" w:sz="0" w:space="0" w:color="auto"/>
        <w:right w:val="none" w:sz="0" w:space="0" w:color="auto"/>
      </w:divBdr>
    </w:div>
    <w:div w:id="92895965">
      <w:bodyDiv w:val="1"/>
      <w:marLeft w:val="0"/>
      <w:marRight w:val="0"/>
      <w:marTop w:val="0"/>
      <w:marBottom w:val="0"/>
      <w:divBdr>
        <w:top w:val="none" w:sz="0" w:space="0" w:color="auto"/>
        <w:left w:val="none" w:sz="0" w:space="0" w:color="auto"/>
        <w:bottom w:val="none" w:sz="0" w:space="0" w:color="auto"/>
        <w:right w:val="none" w:sz="0" w:space="0" w:color="auto"/>
      </w:divBdr>
    </w:div>
    <w:div w:id="181628520">
      <w:bodyDiv w:val="1"/>
      <w:marLeft w:val="0"/>
      <w:marRight w:val="0"/>
      <w:marTop w:val="0"/>
      <w:marBottom w:val="0"/>
      <w:divBdr>
        <w:top w:val="none" w:sz="0" w:space="0" w:color="auto"/>
        <w:left w:val="none" w:sz="0" w:space="0" w:color="auto"/>
        <w:bottom w:val="none" w:sz="0" w:space="0" w:color="auto"/>
        <w:right w:val="none" w:sz="0" w:space="0" w:color="auto"/>
      </w:divBdr>
    </w:div>
    <w:div w:id="204870723">
      <w:bodyDiv w:val="1"/>
      <w:marLeft w:val="0"/>
      <w:marRight w:val="0"/>
      <w:marTop w:val="0"/>
      <w:marBottom w:val="0"/>
      <w:divBdr>
        <w:top w:val="none" w:sz="0" w:space="0" w:color="auto"/>
        <w:left w:val="none" w:sz="0" w:space="0" w:color="auto"/>
        <w:bottom w:val="none" w:sz="0" w:space="0" w:color="auto"/>
        <w:right w:val="none" w:sz="0" w:space="0" w:color="auto"/>
      </w:divBdr>
    </w:div>
    <w:div w:id="232082980">
      <w:bodyDiv w:val="1"/>
      <w:marLeft w:val="0"/>
      <w:marRight w:val="0"/>
      <w:marTop w:val="0"/>
      <w:marBottom w:val="0"/>
      <w:divBdr>
        <w:top w:val="none" w:sz="0" w:space="0" w:color="auto"/>
        <w:left w:val="none" w:sz="0" w:space="0" w:color="auto"/>
        <w:bottom w:val="none" w:sz="0" w:space="0" w:color="auto"/>
        <w:right w:val="none" w:sz="0" w:space="0" w:color="auto"/>
      </w:divBdr>
    </w:div>
    <w:div w:id="404643272">
      <w:bodyDiv w:val="1"/>
      <w:marLeft w:val="0"/>
      <w:marRight w:val="0"/>
      <w:marTop w:val="0"/>
      <w:marBottom w:val="0"/>
      <w:divBdr>
        <w:top w:val="none" w:sz="0" w:space="0" w:color="auto"/>
        <w:left w:val="none" w:sz="0" w:space="0" w:color="auto"/>
        <w:bottom w:val="none" w:sz="0" w:space="0" w:color="auto"/>
        <w:right w:val="none" w:sz="0" w:space="0" w:color="auto"/>
      </w:divBdr>
    </w:div>
    <w:div w:id="438913400">
      <w:bodyDiv w:val="1"/>
      <w:marLeft w:val="0"/>
      <w:marRight w:val="0"/>
      <w:marTop w:val="0"/>
      <w:marBottom w:val="0"/>
      <w:divBdr>
        <w:top w:val="none" w:sz="0" w:space="0" w:color="auto"/>
        <w:left w:val="none" w:sz="0" w:space="0" w:color="auto"/>
        <w:bottom w:val="none" w:sz="0" w:space="0" w:color="auto"/>
        <w:right w:val="none" w:sz="0" w:space="0" w:color="auto"/>
      </w:divBdr>
    </w:div>
    <w:div w:id="464861148">
      <w:bodyDiv w:val="1"/>
      <w:marLeft w:val="0"/>
      <w:marRight w:val="0"/>
      <w:marTop w:val="0"/>
      <w:marBottom w:val="0"/>
      <w:divBdr>
        <w:top w:val="none" w:sz="0" w:space="0" w:color="auto"/>
        <w:left w:val="none" w:sz="0" w:space="0" w:color="auto"/>
        <w:bottom w:val="none" w:sz="0" w:space="0" w:color="auto"/>
        <w:right w:val="none" w:sz="0" w:space="0" w:color="auto"/>
      </w:divBdr>
    </w:div>
    <w:div w:id="607813344">
      <w:bodyDiv w:val="1"/>
      <w:marLeft w:val="0"/>
      <w:marRight w:val="0"/>
      <w:marTop w:val="0"/>
      <w:marBottom w:val="0"/>
      <w:divBdr>
        <w:top w:val="none" w:sz="0" w:space="0" w:color="auto"/>
        <w:left w:val="none" w:sz="0" w:space="0" w:color="auto"/>
        <w:bottom w:val="none" w:sz="0" w:space="0" w:color="auto"/>
        <w:right w:val="none" w:sz="0" w:space="0" w:color="auto"/>
      </w:divBdr>
    </w:div>
    <w:div w:id="626620879">
      <w:bodyDiv w:val="1"/>
      <w:marLeft w:val="0"/>
      <w:marRight w:val="0"/>
      <w:marTop w:val="0"/>
      <w:marBottom w:val="0"/>
      <w:divBdr>
        <w:top w:val="none" w:sz="0" w:space="0" w:color="auto"/>
        <w:left w:val="none" w:sz="0" w:space="0" w:color="auto"/>
        <w:bottom w:val="none" w:sz="0" w:space="0" w:color="auto"/>
        <w:right w:val="none" w:sz="0" w:space="0" w:color="auto"/>
      </w:divBdr>
    </w:div>
    <w:div w:id="676886207">
      <w:bodyDiv w:val="1"/>
      <w:marLeft w:val="0"/>
      <w:marRight w:val="0"/>
      <w:marTop w:val="0"/>
      <w:marBottom w:val="0"/>
      <w:divBdr>
        <w:top w:val="none" w:sz="0" w:space="0" w:color="auto"/>
        <w:left w:val="none" w:sz="0" w:space="0" w:color="auto"/>
        <w:bottom w:val="none" w:sz="0" w:space="0" w:color="auto"/>
        <w:right w:val="none" w:sz="0" w:space="0" w:color="auto"/>
      </w:divBdr>
    </w:div>
    <w:div w:id="694576960">
      <w:bodyDiv w:val="1"/>
      <w:marLeft w:val="0"/>
      <w:marRight w:val="0"/>
      <w:marTop w:val="0"/>
      <w:marBottom w:val="0"/>
      <w:divBdr>
        <w:top w:val="none" w:sz="0" w:space="0" w:color="auto"/>
        <w:left w:val="none" w:sz="0" w:space="0" w:color="auto"/>
        <w:bottom w:val="none" w:sz="0" w:space="0" w:color="auto"/>
        <w:right w:val="none" w:sz="0" w:space="0" w:color="auto"/>
      </w:divBdr>
    </w:div>
    <w:div w:id="697318549">
      <w:bodyDiv w:val="1"/>
      <w:marLeft w:val="0"/>
      <w:marRight w:val="0"/>
      <w:marTop w:val="0"/>
      <w:marBottom w:val="0"/>
      <w:divBdr>
        <w:top w:val="none" w:sz="0" w:space="0" w:color="auto"/>
        <w:left w:val="none" w:sz="0" w:space="0" w:color="auto"/>
        <w:bottom w:val="none" w:sz="0" w:space="0" w:color="auto"/>
        <w:right w:val="none" w:sz="0" w:space="0" w:color="auto"/>
      </w:divBdr>
    </w:div>
    <w:div w:id="744885891">
      <w:bodyDiv w:val="1"/>
      <w:marLeft w:val="0"/>
      <w:marRight w:val="0"/>
      <w:marTop w:val="0"/>
      <w:marBottom w:val="0"/>
      <w:divBdr>
        <w:top w:val="none" w:sz="0" w:space="0" w:color="auto"/>
        <w:left w:val="none" w:sz="0" w:space="0" w:color="auto"/>
        <w:bottom w:val="none" w:sz="0" w:space="0" w:color="auto"/>
        <w:right w:val="none" w:sz="0" w:space="0" w:color="auto"/>
      </w:divBdr>
    </w:div>
    <w:div w:id="750738933">
      <w:bodyDiv w:val="1"/>
      <w:marLeft w:val="0"/>
      <w:marRight w:val="0"/>
      <w:marTop w:val="0"/>
      <w:marBottom w:val="0"/>
      <w:divBdr>
        <w:top w:val="none" w:sz="0" w:space="0" w:color="auto"/>
        <w:left w:val="none" w:sz="0" w:space="0" w:color="auto"/>
        <w:bottom w:val="none" w:sz="0" w:space="0" w:color="auto"/>
        <w:right w:val="none" w:sz="0" w:space="0" w:color="auto"/>
      </w:divBdr>
    </w:div>
    <w:div w:id="805464356">
      <w:bodyDiv w:val="1"/>
      <w:marLeft w:val="0"/>
      <w:marRight w:val="0"/>
      <w:marTop w:val="0"/>
      <w:marBottom w:val="0"/>
      <w:divBdr>
        <w:top w:val="none" w:sz="0" w:space="0" w:color="auto"/>
        <w:left w:val="none" w:sz="0" w:space="0" w:color="auto"/>
        <w:bottom w:val="none" w:sz="0" w:space="0" w:color="auto"/>
        <w:right w:val="none" w:sz="0" w:space="0" w:color="auto"/>
      </w:divBdr>
    </w:div>
    <w:div w:id="814949374">
      <w:bodyDiv w:val="1"/>
      <w:marLeft w:val="0"/>
      <w:marRight w:val="0"/>
      <w:marTop w:val="0"/>
      <w:marBottom w:val="0"/>
      <w:divBdr>
        <w:top w:val="none" w:sz="0" w:space="0" w:color="auto"/>
        <w:left w:val="none" w:sz="0" w:space="0" w:color="auto"/>
        <w:bottom w:val="none" w:sz="0" w:space="0" w:color="auto"/>
        <w:right w:val="none" w:sz="0" w:space="0" w:color="auto"/>
      </w:divBdr>
    </w:div>
    <w:div w:id="846209526">
      <w:bodyDiv w:val="1"/>
      <w:marLeft w:val="0"/>
      <w:marRight w:val="0"/>
      <w:marTop w:val="0"/>
      <w:marBottom w:val="0"/>
      <w:divBdr>
        <w:top w:val="none" w:sz="0" w:space="0" w:color="auto"/>
        <w:left w:val="none" w:sz="0" w:space="0" w:color="auto"/>
        <w:bottom w:val="none" w:sz="0" w:space="0" w:color="auto"/>
        <w:right w:val="none" w:sz="0" w:space="0" w:color="auto"/>
      </w:divBdr>
    </w:div>
    <w:div w:id="868105565">
      <w:bodyDiv w:val="1"/>
      <w:marLeft w:val="0"/>
      <w:marRight w:val="0"/>
      <w:marTop w:val="0"/>
      <w:marBottom w:val="0"/>
      <w:divBdr>
        <w:top w:val="none" w:sz="0" w:space="0" w:color="auto"/>
        <w:left w:val="none" w:sz="0" w:space="0" w:color="auto"/>
        <w:bottom w:val="none" w:sz="0" w:space="0" w:color="auto"/>
        <w:right w:val="none" w:sz="0" w:space="0" w:color="auto"/>
      </w:divBdr>
    </w:div>
    <w:div w:id="897595825">
      <w:bodyDiv w:val="1"/>
      <w:marLeft w:val="0"/>
      <w:marRight w:val="0"/>
      <w:marTop w:val="0"/>
      <w:marBottom w:val="0"/>
      <w:divBdr>
        <w:top w:val="none" w:sz="0" w:space="0" w:color="auto"/>
        <w:left w:val="none" w:sz="0" w:space="0" w:color="auto"/>
        <w:bottom w:val="none" w:sz="0" w:space="0" w:color="auto"/>
        <w:right w:val="none" w:sz="0" w:space="0" w:color="auto"/>
      </w:divBdr>
    </w:div>
    <w:div w:id="990598059">
      <w:bodyDiv w:val="1"/>
      <w:marLeft w:val="0"/>
      <w:marRight w:val="0"/>
      <w:marTop w:val="0"/>
      <w:marBottom w:val="0"/>
      <w:divBdr>
        <w:top w:val="none" w:sz="0" w:space="0" w:color="auto"/>
        <w:left w:val="none" w:sz="0" w:space="0" w:color="auto"/>
        <w:bottom w:val="none" w:sz="0" w:space="0" w:color="auto"/>
        <w:right w:val="none" w:sz="0" w:space="0" w:color="auto"/>
      </w:divBdr>
    </w:div>
    <w:div w:id="1031804434">
      <w:bodyDiv w:val="1"/>
      <w:marLeft w:val="0"/>
      <w:marRight w:val="0"/>
      <w:marTop w:val="0"/>
      <w:marBottom w:val="0"/>
      <w:divBdr>
        <w:top w:val="none" w:sz="0" w:space="0" w:color="auto"/>
        <w:left w:val="none" w:sz="0" w:space="0" w:color="auto"/>
        <w:bottom w:val="none" w:sz="0" w:space="0" w:color="auto"/>
        <w:right w:val="none" w:sz="0" w:space="0" w:color="auto"/>
      </w:divBdr>
    </w:div>
    <w:div w:id="1040982081">
      <w:bodyDiv w:val="1"/>
      <w:marLeft w:val="0"/>
      <w:marRight w:val="0"/>
      <w:marTop w:val="0"/>
      <w:marBottom w:val="0"/>
      <w:divBdr>
        <w:top w:val="none" w:sz="0" w:space="0" w:color="auto"/>
        <w:left w:val="none" w:sz="0" w:space="0" w:color="auto"/>
        <w:bottom w:val="none" w:sz="0" w:space="0" w:color="auto"/>
        <w:right w:val="none" w:sz="0" w:space="0" w:color="auto"/>
      </w:divBdr>
    </w:div>
    <w:div w:id="1060638256">
      <w:bodyDiv w:val="1"/>
      <w:marLeft w:val="0"/>
      <w:marRight w:val="0"/>
      <w:marTop w:val="0"/>
      <w:marBottom w:val="0"/>
      <w:divBdr>
        <w:top w:val="none" w:sz="0" w:space="0" w:color="auto"/>
        <w:left w:val="none" w:sz="0" w:space="0" w:color="auto"/>
        <w:bottom w:val="none" w:sz="0" w:space="0" w:color="auto"/>
        <w:right w:val="none" w:sz="0" w:space="0" w:color="auto"/>
      </w:divBdr>
    </w:div>
    <w:div w:id="1100024691">
      <w:bodyDiv w:val="1"/>
      <w:marLeft w:val="0"/>
      <w:marRight w:val="0"/>
      <w:marTop w:val="0"/>
      <w:marBottom w:val="0"/>
      <w:divBdr>
        <w:top w:val="none" w:sz="0" w:space="0" w:color="auto"/>
        <w:left w:val="none" w:sz="0" w:space="0" w:color="auto"/>
        <w:bottom w:val="none" w:sz="0" w:space="0" w:color="auto"/>
        <w:right w:val="none" w:sz="0" w:space="0" w:color="auto"/>
      </w:divBdr>
    </w:div>
    <w:div w:id="1208183919">
      <w:bodyDiv w:val="1"/>
      <w:marLeft w:val="0"/>
      <w:marRight w:val="0"/>
      <w:marTop w:val="0"/>
      <w:marBottom w:val="0"/>
      <w:divBdr>
        <w:top w:val="none" w:sz="0" w:space="0" w:color="auto"/>
        <w:left w:val="none" w:sz="0" w:space="0" w:color="auto"/>
        <w:bottom w:val="none" w:sz="0" w:space="0" w:color="auto"/>
        <w:right w:val="none" w:sz="0" w:space="0" w:color="auto"/>
      </w:divBdr>
    </w:div>
    <w:div w:id="1274169508">
      <w:bodyDiv w:val="1"/>
      <w:marLeft w:val="0"/>
      <w:marRight w:val="0"/>
      <w:marTop w:val="0"/>
      <w:marBottom w:val="0"/>
      <w:divBdr>
        <w:top w:val="none" w:sz="0" w:space="0" w:color="auto"/>
        <w:left w:val="none" w:sz="0" w:space="0" w:color="auto"/>
        <w:bottom w:val="none" w:sz="0" w:space="0" w:color="auto"/>
        <w:right w:val="none" w:sz="0" w:space="0" w:color="auto"/>
      </w:divBdr>
    </w:div>
    <w:div w:id="1348872056">
      <w:bodyDiv w:val="1"/>
      <w:marLeft w:val="0"/>
      <w:marRight w:val="0"/>
      <w:marTop w:val="0"/>
      <w:marBottom w:val="0"/>
      <w:divBdr>
        <w:top w:val="none" w:sz="0" w:space="0" w:color="auto"/>
        <w:left w:val="none" w:sz="0" w:space="0" w:color="auto"/>
        <w:bottom w:val="none" w:sz="0" w:space="0" w:color="auto"/>
        <w:right w:val="none" w:sz="0" w:space="0" w:color="auto"/>
      </w:divBdr>
    </w:div>
    <w:div w:id="1378815941">
      <w:bodyDiv w:val="1"/>
      <w:marLeft w:val="0"/>
      <w:marRight w:val="0"/>
      <w:marTop w:val="0"/>
      <w:marBottom w:val="0"/>
      <w:divBdr>
        <w:top w:val="none" w:sz="0" w:space="0" w:color="auto"/>
        <w:left w:val="none" w:sz="0" w:space="0" w:color="auto"/>
        <w:bottom w:val="none" w:sz="0" w:space="0" w:color="auto"/>
        <w:right w:val="none" w:sz="0" w:space="0" w:color="auto"/>
      </w:divBdr>
    </w:div>
    <w:div w:id="1385328255">
      <w:bodyDiv w:val="1"/>
      <w:marLeft w:val="0"/>
      <w:marRight w:val="0"/>
      <w:marTop w:val="0"/>
      <w:marBottom w:val="0"/>
      <w:divBdr>
        <w:top w:val="none" w:sz="0" w:space="0" w:color="auto"/>
        <w:left w:val="none" w:sz="0" w:space="0" w:color="auto"/>
        <w:bottom w:val="none" w:sz="0" w:space="0" w:color="auto"/>
        <w:right w:val="none" w:sz="0" w:space="0" w:color="auto"/>
      </w:divBdr>
    </w:div>
    <w:div w:id="1416128026">
      <w:bodyDiv w:val="1"/>
      <w:marLeft w:val="0"/>
      <w:marRight w:val="0"/>
      <w:marTop w:val="0"/>
      <w:marBottom w:val="0"/>
      <w:divBdr>
        <w:top w:val="none" w:sz="0" w:space="0" w:color="auto"/>
        <w:left w:val="none" w:sz="0" w:space="0" w:color="auto"/>
        <w:bottom w:val="none" w:sz="0" w:space="0" w:color="auto"/>
        <w:right w:val="none" w:sz="0" w:space="0" w:color="auto"/>
      </w:divBdr>
    </w:div>
    <w:div w:id="1453941792">
      <w:bodyDiv w:val="1"/>
      <w:marLeft w:val="0"/>
      <w:marRight w:val="0"/>
      <w:marTop w:val="0"/>
      <w:marBottom w:val="0"/>
      <w:divBdr>
        <w:top w:val="none" w:sz="0" w:space="0" w:color="auto"/>
        <w:left w:val="none" w:sz="0" w:space="0" w:color="auto"/>
        <w:bottom w:val="none" w:sz="0" w:space="0" w:color="auto"/>
        <w:right w:val="none" w:sz="0" w:space="0" w:color="auto"/>
      </w:divBdr>
    </w:div>
    <w:div w:id="1492328542">
      <w:bodyDiv w:val="1"/>
      <w:marLeft w:val="0"/>
      <w:marRight w:val="0"/>
      <w:marTop w:val="0"/>
      <w:marBottom w:val="0"/>
      <w:divBdr>
        <w:top w:val="none" w:sz="0" w:space="0" w:color="auto"/>
        <w:left w:val="none" w:sz="0" w:space="0" w:color="auto"/>
        <w:bottom w:val="none" w:sz="0" w:space="0" w:color="auto"/>
        <w:right w:val="none" w:sz="0" w:space="0" w:color="auto"/>
      </w:divBdr>
    </w:div>
    <w:div w:id="1514296974">
      <w:bodyDiv w:val="1"/>
      <w:marLeft w:val="0"/>
      <w:marRight w:val="0"/>
      <w:marTop w:val="0"/>
      <w:marBottom w:val="0"/>
      <w:divBdr>
        <w:top w:val="none" w:sz="0" w:space="0" w:color="auto"/>
        <w:left w:val="none" w:sz="0" w:space="0" w:color="auto"/>
        <w:bottom w:val="none" w:sz="0" w:space="0" w:color="auto"/>
        <w:right w:val="none" w:sz="0" w:space="0" w:color="auto"/>
      </w:divBdr>
    </w:div>
    <w:div w:id="1580365162">
      <w:bodyDiv w:val="1"/>
      <w:marLeft w:val="0"/>
      <w:marRight w:val="0"/>
      <w:marTop w:val="0"/>
      <w:marBottom w:val="0"/>
      <w:divBdr>
        <w:top w:val="none" w:sz="0" w:space="0" w:color="auto"/>
        <w:left w:val="none" w:sz="0" w:space="0" w:color="auto"/>
        <w:bottom w:val="none" w:sz="0" w:space="0" w:color="auto"/>
        <w:right w:val="none" w:sz="0" w:space="0" w:color="auto"/>
      </w:divBdr>
    </w:div>
    <w:div w:id="1645305629">
      <w:bodyDiv w:val="1"/>
      <w:marLeft w:val="0"/>
      <w:marRight w:val="0"/>
      <w:marTop w:val="0"/>
      <w:marBottom w:val="0"/>
      <w:divBdr>
        <w:top w:val="none" w:sz="0" w:space="0" w:color="auto"/>
        <w:left w:val="none" w:sz="0" w:space="0" w:color="auto"/>
        <w:bottom w:val="none" w:sz="0" w:space="0" w:color="auto"/>
        <w:right w:val="none" w:sz="0" w:space="0" w:color="auto"/>
      </w:divBdr>
    </w:div>
    <w:div w:id="1666081855">
      <w:bodyDiv w:val="1"/>
      <w:marLeft w:val="0"/>
      <w:marRight w:val="0"/>
      <w:marTop w:val="0"/>
      <w:marBottom w:val="0"/>
      <w:divBdr>
        <w:top w:val="none" w:sz="0" w:space="0" w:color="auto"/>
        <w:left w:val="none" w:sz="0" w:space="0" w:color="auto"/>
        <w:bottom w:val="none" w:sz="0" w:space="0" w:color="auto"/>
        <w:right w:val="none" w:sz="0" w:space="0" w:color="auto"/>
      </w:divBdr>
    </w:div>
    <w:div w:id="1695037477">
      <w:bodyDiv w:val="1"/>
      <w:marLeft w:val="0"/>
      <w:marRight w:val="0"/>
      <w:marTop w:val="0"/>
      <w:marBottom w:val="0"/>
      <w:divBdr>
        <w:top w:val="none" w:sz="0" w:space="0" w:color="auto"/>
        <w:left w:val="none" w:sz="0" w:space="0" w:color="auto"/>
        <w:bottom w:val="none" w:sz="0" w:space="0" w:color="auto"/>
        <w:right w:val="none" w:sz="0" w:space="0" w:color="auto"/>
      </w:divBdr>
    </w:div>
    <w:div w:id="1695956055">
      <w:bodyDiv w:val="1"/>
      <w:marLeft w:val="0"/>
      <w:marRight w:val="0"/>
      <w:marTop w:val="0"/>
      <w:marBottom w:val="0"/>
      <w:divBdr>
        <w:top w:val="none" w:sz="0" w:space="0" w:color="auto"/>
        <w:left w:val="none" w:sz="0" w:space="0" w:color="auto"/>
        <w:bottom w:val="none" w:sz="0" w:space="0" w:color="auto"/>
        <w:right w:val="none" w:sz="0" w:space="0" w:color="auto"/>
      </w:divBdr>
    </w:div>
    <w:div w:id="1722316597">
      <w:bodyDiv w:val="1"/>
      <w:marLeft w:val="0"/>
      <w:marRight w:val="0"/>
      <w:marTop w:val="0"/>
      <w:marBottom w:val="0"/>
      <w:divBdr>
        <w:top w:val="none" w:sz="0" w:space="0" w:color="auto"/>
        <w:left w:val="none" w:sz="0" w:space="0" w:color="auto"/>
        <w:bottom w:val="none" w:sz="0" w:space="0" w:color="auto"/>
        <w:right w:val="none" w:sz="0" w:space="0" w:color="auto"/>
      </w:divBdr>
    </w:div>
    <w:div w:id="1739595173">
      <w:bodyDiv w:val="1"/>
      <w:marLeft w:val="0"/>
      <w:marRight w:val="0"/>
      <w:marTop w:val="0"/>
      <w:marBottom w:val="0"/>
      <w:divBdr>
        <w:top w:val="none" w:sz="0" w:space="0" w:color="auto"/>
        <w:left w:val="none" w:sz="0" w:space="0" w:color="auto"/>
        <w:bottom w:val="none" w:sz="0" w:space="0" w:color="auto"/>
        <w:right w:val="none" w:sz="0" w:space="0" w:color="auto"/>
      </w:divBdr>
    </w:div>
    <w:div w:id="1747069313">
      <w:bodyDiv w:val="1"/>
      <w:marLeft w:val="0"/>
      <w:marRight w:val="0"/>
      <w:marTop w:val="0"/>
      <w:marBottom w:val="0"/>
      <w:divBdr>
        <w:top w:val="none" w:sz="0" w:space="0" w:color="auto"/>
        <w:left w:val="none" w:sz="0" w:space="0" w:color="auto"/>
        <w:bottom w:val="none" w:sz="0" w:space="0" w:color="auto"/>
        <w:right w:val="none" w:sz="0" w:space="0" w:color="auto"/>
      </w:divBdr>
    </w:div>
    <w:div w:id="1778408399">
      <w:bodyDiv w:val="1"/>
      <w:marLeft w:val="0"/>
      <w:marRight w:val="0"/>
      <w:marTop w:val="0"/>
      <w:marBottom w:val="0"/>
      <w:divBdr>
        <w:top w:val="none" w:sz="0" w:space="0" w:color="auto"/>
        <w:left w:val="none" w:sz="0" w:space="0" w:color="auto"/>
        <w:bottom w:val="none" w:sz="0" w:space="0" w:color="auto"/>
        <w:right w:val="none" w:sz="0" w:space="0" w:color="auto"/>
      </w:divBdr>
    </w:div>
    <w:div w:id="1838031702">
      <w:bodyDiv w:val="1"/>
      <w:marLeft w:val="0"/>
      <w:marRight w:val="0"/>
      <w:marTop w:val="0"/>
      <w:marBottom w:val="0"/>
      <w:divBdr>
        <w:top w:val="none" w:sz="0" w:space="0" w:color="auto"/>
        <w:left w:val="none" w:sz="0" w:space="0" w:color="auto"/>
        <w:bottom w:val="none" w:sz="0" w:space="0" w:color="auto"/>
        <w:right w:val="none" w:sz="0" w:space="0" w:color="auto"/>
      </w:divBdr>
    </w:div>
    <w:div w:id="1874344020">
      <w:bodyDiv w:val="1"/>
      <w:marLeft w:val="0"/>
      <w:marRight w:val="0"/>
      <w:marTop w:val="0"/>
      <w:marBottom w:val="0"/>
      <w:divBdr>
        <w:top w:val="none" w:sz="0" w:space="0" w:color="auto"/>
        <w:left w:val="none" w:sz="0" w:space="0" w:color="auto"/>
        <w:bottom w:val="none" w:sz="0" w:space="0" w:color="auto"/>
        <w:right w:val="none" w:sz="0" w:space="0" w:color="auto"/>
      </w:divBdr>
    </w:div>
    <w:div w:id="1900628545">
      <w:bodyDiv w:val="1"/>
      <w:marLeft w:val="0"/>
      <w:marRight w:val="0"/>
      <w:marTop w:val="0"/>
      <w:marBottom w:val="0"/>
      <w:divBdr>
        <w:top w:val="none" w:sz="0" w:space="0" w:color="auto"/>
        <w:left w:val="none" w:sz="0" w:space="0" w:color="auto"/>
        <w:bottom w:val="none" w:sz="0" w:space="0" w:color="auto"/>
        <w:right w:val="none" w:sz="0" w:space="0" w:color="auto"/>
      </w:divBdr>
    </w:div>
    <w:div w:id="1924097982">
      <w:bodyDiv w:val="1"/>
      <w:marLeft w:val="0"/>
      <w:marRight w:val="0"/>
      <w:marTop w:val="0"/>
      <w:marBottom w:val="0"/>
      <w:divBdr>
        <w:top w:val="none" w:sz="0" w:space="0" w:color="auto"/>
        <w:left w:val="none" w:sz="0" w:space="0" w:color="auto"/>
        <w:bottom w:val="none" w:sz="0" w:space="0" w:color="auto"/>
        <w:right w:val="none" w:sz="0" w:space="0" w:color="auto"/>
      </w:divBdr>
    </w:div>
    <w:div w:id="1949967545">
      <w:bodyDiv w:val="1"/>
      <w:marLeft w:val="0"/>
      <w:marRight w:val="0"/>
      <w:marTop w:val="0"/>
      <w:marBottom w:val="0"/>
      <w:divBdr>
        <w:top w:val="none" w:sz="0" w:space="0" w:color="auto"/>
        <w:left w:val="none" w:sz="0" w:space="0" w:color="auto"/>
        <w:bottom w:val="none" w:sz="0" w:space="0" w:color="auto"/>
        <w:right w:val="none" w:sz="0" w:space="0" w:color="auto"/>
      </w:divBdr>
    </w:div>
    <w:div w:id="1956787893">
      <w:bodyDiv w:val="1"/>
      <w:marLeft w:val="0"/>
      <w:marRight w:val="0"/>
      <w:marTop w:val="0"/>
      <w:marBottom w:val="0"/>
      <w:divBdr>
        <w:top w:val="none" w:sz="0" w:space="0" w:color="auto"/>
        <w:left w:val="none" w:sz="0" w:space="0" w:color="auto"/>
        <w:bottom w:val="none" w:sz="0" w:space="0" w:color="auto"/>
        <w:right w:val="none" w:sz="0" w:space="0" w:color="auto"/>
      </w:divBdr>
    </w:div>
    <w:div w:id="2051416491">
      <w:bodyDiv w:val="1"/>
      <w:marLeft w:val="0"/>
      <w:marRight w:val="0"/>
      <w:marTop w:val="0"/>
      <w:marBottom w:val="0"/>
      <w:divBdr>
        <w:top w:val="none" w:sz="0" w:space="0" w:color="auto"/>
        <w:left w:val="none" w:sz="0" w:space="0" w:color="auto"/>
        <w:bottom w:val="none" w:sz="0" w:space="0" w:color="auto"/>
        <w:right w:val="none" w:sz="0" w:space="0" w:color="auto"/>
      </w:divBdr>
    </w:div>
    <w:div w:id="2082634584">
      <w:bodyDiv w:val="1"/>
      <w:marLeft w:val="0"/>
      <w:marRight w:val="0"/>
      <w:marTop w:val="0"/>
      <w:marBottom w:val="0"/>
      <w:divBdr>
        <w:top w:val="none" w:sz="0" w:space="0" w:color="auto"/>
        <w:left w:val="none" w:sz="0" w:space="0" w:color="auto"/>
        <w:bottom w:val="none" w:sz="0" w:space="0" w:color="auto"/>
        <w:right w:val="none" w:sz="0" w:space="0" w:color="auto"/>
      </w:divBdr>
    </w:div>
    <w:div w:id="209731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2EF1BB-72E2-4C73-91A2-5A453458F480}"/>
</file>

<file path=customXml/itemProps2.xml><?xml version="1.0" encoding="utf-8"?>
<ds:datastoreItem xmlns:ds="http://schemas.openxmlformats.org/officeDocument/2006/customXml" ds:itemID="{E34CDBBA-4E68-45EE-BE20-D4CE5BA1A408}"/>
</file>

<file path=customXml/itemProps3.xml><?xml version="1.0" encoding="utf-8"?>
<ds:datastoreItem xmlns:ds="http://schemas.openxmlformats.org/officeDocument/2006/customXml" ds:itemID="{47E6C510-E29E-49CD-9633-4CC6883B0FEF}"/>
</file>

<file path=customXml/itemProps4.xml><?xml version="1.0" encoding="utf-8"?>
<ds:datastoreItem xmlns:ds="http://schemas.openxmlformats.org/officeDocument/2006/customXml" ds:itemID="{D604E9C8-0EB4-47FF-981E-E159A70A786D}"/>
</file>

<file path=docProps/app.xml><?xml version="1.0" encoding="utf-8"?>
<Properties xmlns="http://schemas.openxmlformats.org/officeDocument/2006/extended-properties" xmlns:vt="http://schemas.openxmlformats.org/officeDocument/2006/docPropsVTypes">
  <Template>Normal.dotm</Template>
  <TotalTime>0</TotalTime>
  <Pages>10</Pages>
  <Words>3914</Words>
  <Characters>21533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Jose Chaux Donado</dc:creator>
  <cp:keywords/>
  <dc:description/>
  <cp:lastModifiedBy>Luz Stella Rojas Macias</cp:lastModifiedBy>
  <cp:revision>2</cp:revision>
  <cp:lastPrinted>2018-02-13T19:05:00Z</cp:lastPrinted>
  <dcterms:created xsi:type="dcterms:W3CDTF">2018-02-13T21:30:00Z</dcterms:created>
  <dcterms:modified xsi:type="dcterms:W3CDTF">2018-02-13T21:30:00Z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ies>
</file>