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344F4" w14:textId="1B37C9A2" w:rsidR="00354120" w:rsidRDefault="00F70886" w:rsidP="00A956CF">
      <w:pPr>
        <w:spacing w:line="276" w:lineRule="auto"/>
        <w:jc w:val="center"/>
        <w:rPr>
          <w:b/>
          <w:bCs/>
          <w:sz w:val="28"/>
          <w:szCs w:val="28"/>
        </w:rPr>
      </w:pPr>
      <w:bookmarkStart w:id="0" w:name="_GoBack"/>
      <w:bookmarkEnd w:id="0"/>
      <w:r w:rsidRPr="00A956CF">
        <w:rPr>
          <w:b/>
          <w:bCs/>
          <w:sz w:val="28"/>
          <w:szCs w:val="28"/>
        </w:rPr>
        <w:t xml:space="preserve">BREVE RESEÑA </w:t>
      </w:r>
      <w:r>
        <w:rPr>
          <w:b/>
          <w:bCs/>
          <w:sz w:val="28"/>
          <w:szCs w:val="28"/>
        </w:rPr>
        <w:t xml:space="preserve">DEL </w:t>
      </w:r>
      <w:r w:rsidRPr="00A956CF">
        <w:rPr>
          <w:b/>
          <w:bCs/>
          <w:sz w:val="28"/>
          <w:szCs w:val="28"/>
        </w:rPr>
        <w:t>SISTEMA DE DISTRIBUCIÓN</w:t>
      </w:r>
      <w:r>
        <w:rPr>
          <w:b/>
          <w:bCs/>
          <w:sz w:val="28"/>
          <w:szCs w:val="28"/>
        </w:rPr>
        <w:t xml:space="preserve"> DE PROMIGAS S.A. E.S.P.</w:t>
      </w:r>
    </w:p>
    <w:p w14:paraId="619F72F2" w14:textId="77777777" w:rsidR="00A956CF" w:rsidRPr="00A956CF" w:rsidRDefault="00A956CF" w:rsidP="00A956CF">
      <w:pPr>
        <w:spacing w:line="276" w:lineRule="auto"/>
        <w:jc w:val="center"/>
        <w:rPr>
          <w:b/>
          <w:bCs/>
          <w:sz w:val="28"/>
          <w:szCs w:val="28"/>
        </w:rPr>
      </w:pPr>
    </w:p>
    <w:p w14:paraId="3A5A53A1" w14:textId="79BA5E8C" w:rsidR="006F19B0" w:rsidRPr="00A956CF" w:rsidRDefault="00454B42" w:rsidP="00A956CF">
      <w:pPr>
        <w:spacing w:line="276" w:lineRule="auto"/>
        <w:jc w:val="both"/>
        <w:rPr>
          <w:sz w:val="28"/>
          <w:szCs w:val="28"/>
        </w:rPr>
      </w:pPr>
      <w:r w:rsidRPr="00A956CF">
        <w:rPr>
          <w:sz w:val="28"/>
          <w:szCs w:val="28"/>
        </w:rPr>
        <w:t>Promigas</w:t>
      </w:r>
      <w:r w:rsidR="000E2F6A" w:rsidRPr="00A956CF">
        <w:rPr>
          <w:sz w:val="28"/>
          <w:szCs w:val="28"/>
        </w:rPr>
        <w:t xml:space="preserve"> S.A. E.S.P.</w:t>
      </w:r>
      <w:r w:rsidRPr="00A956CF">
        <w:rPr>
          <w:sz w:val="28"/>
          <w:szCs w:val="28"/>
        </w:rPr>
        <w:t xml:space="preserve"> es una empresa transportadora y distribuidora de gas natural constituida en 1974. La empresa es propietaria de los activos denominados “Red de Distribución de Barranquilla”, los cuales están embebidos en el sistema de distribución de Gases del Caribe</w:t>
      </w:r>
      <w:r w:rsidR="000E2F6A" w:rsidRPr="00A956CF">
        <w:rPr>
          <w:sz w:val="28"/>
          <w:szCs w:val="28"/>
        </w:rPr>
        <w:t xml:space="preserve"> S.A. E.S.P.</w:t>
      </w:r>
      <w:r w:rsidRPr="00A956CF">
        <w:rPr>
          <w:sz w:val="28"/>
          <w:szCs w:val="28"/>
        </w:rPr>
        <w:t xml:space="preserve"> </w:t>
      </w:r>
      <w:r w:rsidR="002E7CEA" w:rsidRPr="00A956CF">
        <w:rPr>
          <w:sz w:val="28"/>
          <w:szCs w:val="28"/>
        </w:rPr>
        <w:t>El sistema de distribución de Promigas está c</w:t>
      </w:r>
      <w:r w:rsidR="006F19B0" w:rsidRPr="00A956CF">
        <w:rPr>
          <w:sz w:val="28"/>
          <w:szCs w:val="28"/>
        </w:rPr>
        <w:t>ompuesto por</w:t>
      </w:r>
      <w:r w:rsidR="002E7CEA" w:rsidRPr="00A956CF">
        <w:rPr>
          <w:sz w:val="28"/>
          <w:szCs w:val="28"/>
        </w:rPr>
        <w:t xml:space="preserve"> 78 kilómetros</w:t>
      </w:r>
      <w:r w:rsidR="006F19B0" w:rsidRPr="00A956CF">
        <w:rPr>
          <w:sz w:val="28"/>
          <w:szCs w:val="28"/>
        </w:rPr>
        <w:t>.</w:t>
      </w:r>
    </w:p>
    <w:p w14:paraId="4B4D9CF1" w14:textId="17F25C76" w:rsidR="00490BEC" w:rsidRDefault="006F19B0" w:rsidP="00A956CF">
      <w:pPr>
        <w:spacing w:line="276" w:lineRule="auto"/>
        <w:jc w:val="both"/>
        <w:rPr>
          <w:sz w:val="28"/>
          <w:szCs w:val="28"/>
        </w:rPr>
      </w:pPr>
      <w:r w:rsidRPr="00A956CF">
        <w:rPr>
          <w:sz w:val="28"/>
          <w:szCs w:val="28"/>
        </w:rPr>
        <w:t>P</w:t>
      </w:r>
      <w:r w:rsidR="00490BEC" w:rsidRPr="00A956CF">
        <w:rPr>
          <w:sz w:val="28"/>
          <w:szCs w:val="28"/>
        </w:rPr>
        <w:t xml:space="preserve">or Medio </w:t>
      </w:r>
      <w:r w:rsidR="005A78B0" w:rsidRPr="00A956CF">
        <w:rPr>
          <w:sz w:val="28"/>
          <w:szCs w:val="28"/>
        </w:rPr>
        <w:t>de la Resolución CREG 198 de 2017</w:t>
      </w:r>
      <w:r w:rsidR="00490BEC" w:rsidRPr="00A956CF">
        <w:rPr>
          <w:sz w:val="28"/>
          <w:szCs w:val="28"/>
        </w:rPr>
        <w:t xml:space="preserve"> y </w:t>
      </w:r>
      <w:r w:rsidR="005A78B0" w:rsidRPr="00A956CF">
        <w:rPr>
          <w:sz w:val="28"/>
          <w:szCs w:val="28"/>
        </w:rPr>
        <w:t>la Resolución CREG 018 de 2018, e</w:t>
      </w:r>
      <w:r w:rsidR="000E2F6A" w:rsidRPr="00A956CF">
        <w:rPr>
          <w:sz w:val="28"/>
          <w:szCs w:val="28"/>
        </w:rPr>
        <w:t xml:space="preserve">l </w:t>
      </w:r>
      <w:r w:rsidR="00454B42" w:rsidRPr="00A956CF">
        <w:rPr>
          <w:sz w:val="28"/>
          <w:szCs w:val="28"/>
        </w:rPr>
        <w:t>sistema</w:t>
      </w:r>
      <w:r w:rsidR="000E2F6A" w:rsidRPr="00A956CF">
        <w:rPr>
          <w:sz w:val="28"/>
          <w:szCs w:val="28"/>
        </w:rPr>
        <w:t xml:space="preserve"> e</w:t>
      </w:r>
      <w:r w:rsidRPr="00A956CF">
        <w:rPr>
          <w:sz w:val="28"/>
          <w:szCs w:val="28"/>
        </w:rPr>
        <w:t>mbebido</w:t>
      </w:r>
      <w:r w:rsidR="000E2F6A" w:rsidRPr="00A956CF">
        <w:rPr>
          <w:sz w:val="28"/>
          <w:szCs w:val="28"/>
        </w:rPr>
        <w:t xml:space="preserve"> tiene cargos </w:t>
      </w:r>
      <w:r w:rsidRPr="00A956CF">
        <w:rPr>
          <w:sz w:val="28"/>
          <w:szCs w:val="28"/>
        </w:rPr>
        <w:t xml:space="preserve">de Distribución de Gas Natural </w:t>
      </w:r>
      <w:r w:rsidR="000E2F6A" w:rsidRPr="00A956CF">
        <w:rPr>
          <w:sz w:val="28"/>
          <w:szCs w:val="28"/>
        </w:rPr>
        <w:t xml:space="preserve">aprobados por la Comisión de Regulación de Energía y Gas para el Mercado Relevante conformado por municipios de los departamentos de </w:t>
      </w:r>
      <w:r w:rsidR="005A78B0" w:rsidRPr="00A956CF">
        <w:rPr>
          <w:sz w:val="28"/>
          <w:szCs w:val="28"/>
        </w:rPr>
        <w:t>Atlántico</w:t>
      </w:r>
      <w:r w:rsidR="000E2F6A" w:rsidRPr="00A956CF">
        <w:rPr>
          <w:sz w:val="28"/>
          <w:szCs w:val="28"/>
        </w:rPr>
        <w:t xml:space="preserve">, Magdalena, Cesar y </w:t>
      </w:r>
      <w:r w:rsidR="005A78B0" w:rsidRPr="00A956CF">
        <w:rPr>
          <w:sz w:val="28"/>
          <w:szCs w:val="28"/>
        </w:rPr>
        <w:t>Bolívar</w:t>
      </w:r>
      <w:r w:rsidR="000E2F6A" w:rsidRPr="00A956CF">
        <w:rPr>
          <w:sz w:val="28"/>
          <w:szCs w:val="28"/>
        </w:rPr>
        <w:t>.</w:t>
      </w:r>
      <w:r w:rsidR="005A78B0" w:rsidRPr="00A956CF">
        <w:rPr>
          <w:sz w:val="28"/>
          <w:szCs w:val="28"/>
        </w:rPr>
        <w:t xml:space="preserve"> </w:t>
      </w:r>
    </w:p>
    <w:p w14:paraId="47D1E4F9" w14:textId="77777777" w:rsidR="00A956CF" w:rsidRPr="00A956CF" w:rsidRDefault="00A956CF" w:rsidP="00A956CF">
      <w:pPr>
        <w:spacing w:line="276" w:lineRule="auto"/>
        <w:jc w:val="both"/>
        <w:rPr>
          <w:sz w:val="28"/>
          <w:szCs w:val="28"/>
        </w:rPr>
      </w:pPr>
    </w:p>
    <w:p w14:paraId="7718DB90" w14:textId="0FAC2AF0" w:rsidR="002E7CEA" w:rsidRPr="00A956CF" w:rsidRDefault="002E7CEA" w:rsidP="00A956CF">
      <w:pPr>
        <w:spacing w:line="276" w:lineRule="auto"/>
        <w:rPr>
          <w:sz w:val="28"/>
          <w:szCs w:val="28"/>
        </w:rPr>
      </w:pPr>
      <w:r w:rsidRPr="00A956CF">
        <w:rPr>
          <w:rFonts w:eastAsia="Calibri" w:cs="Tahoma"/>
          <w:noProof/>
          <w:sz w:val="28"/>
          <w:szCs w:val="28"/>
        </w:rPr>
        <w:drawing>
          <wp:inline distT="0" distB="0" distL="0" distR="0" wp14:anchorId="5AF7E3F8" wp14:editId="11483CE5">
            <wp:extent cx="5600700" cy="2956247"/>
            <wp:effectExtent l="0" t="0" r="0" b="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t="5878"/>
                    <a:stretch>
                      <a:fillRect/>
                    </a:stretch>
                  </pic:blipFill>
                  <pic:spPr bwMode="auto">
                    <a:xfrm>
                      <a:off x="0" y="0"/>
                      <a:ext cx="5601486" cy="2956662"/>
                    </a:xfrm>
                    <a:prstGeom prst="rect">
                      <a:avLst/>
                    </a:prstGeom>
                    <a:noFill/>
                    <a:ln>
                      <a:noFill/>
                    </a:ln>
                  </pic:spPr>
                </pic:pic>
              </a:graphicData>
            </a:graphic>
          </wp:inline>
        </w:drawing>
      </w:r>
    </w:p>
    <w:p w14:paraId="7994B8F8" w14:textId="108C4F8B" w:rsidR="002E7CEA" w:rsidRDefault="002E7CEA" w:rsidP="00A956CF">
      <w:pPr>
        <w:spacing w:line="276" w:lineRule="auto"/>
        <w:rPr>
          <w:sz w:val="28"/>
          <w:szCs w:val="28"/>
        </w:rPr>
      </w:pPr>
    </w:p>
    <w:p w14:paraId="71D43BA5" w14:textId="72C3C78D" w:rsidR="00A956CF" w:rsidRDefault="00A956CF" w:rsidP="00A956CF">
      <w:pPr>
        <w:spacing w:line="276" w:lineRule="auto"/>
        <w:jc w:val="both"/>
        <w:rPr>
          <w:sz w:val="28"/>
          <w:szCs w:val="28"/>
        </w:rPr>
      </w:pPr>
      <w:r>
        <w:rPr>
          <w:sz w:val="28"/>
          <w:szCs w:val="28"/>
        </w:rPr>
        <w:t>A continuación, se detalla el procedimiento para realizar la solicitud de servicios de distribución de gas natural:</w:t>
      </w:r>
    </w:p>
    <w:p w14:paraId="13FD5776" w14:textId="77777777" w:rsidR="00A956CF" w:rsidRPr="00A956CF" w:rsidRDefault="00A956CF" w:rsidP="00A956CF">
      <w:pPr>
        <w:spacing w:line="276" w:lineRule="auto"/>
        <w:jc w:val="both"/>
        <w:rPr>
          <w:sz w:val="28"/>
          <w:szCs w:val="28"/>
        </w:rPr>
      </w:pPr>
    </w:p>
    <w:p w14:paraId="04F033FC" w14:textId="77777777" w:rsidR="00A956CF" w:rsidRPr="00A956CF" w:rsidRDefault="00A956CF" w:rsidP="00A956CF">
      <w:pPr>
        <w:spacing w:line="276" w:lineRule="auto"/>
        <w:jc w:val="center"/>
        <w:rPr>
          <w:rFonts w:cstheme="minorHAnsi"/>
          <w:b/>
          <w:sz w:val="28"/>
          <w:szCs w:val="28"/>
          <w:u w:val="single"/>
        </w:rPr>
      </w:pPr>
      <w:r w:rsidRPr="00A956CF">
        <w:rPr>
          <w:rFonts w:cstheme="minorHAnsi"/>
          <w:b/>
          <w:sz w:val="28"/>
          <w:szCs w:val="28"/>
          <w:u w:val="single"/>
        </w:rPr>
        <w:lastRenderedPageBreak/>
        <w:t>SOLICITUD DE SERVICIO DE DISTRIBUCIÓN DE GAS NATURAL:</w:t>
      </w:r>
    </w:p>
    <w:p w14:paraId="0E070BF6" w14:textId="77777777" w:rsidR="00A956CF" w:rsidRPr="00A956CF" w:rsidRDefault="00A956CF" w:rsidP="00A956CF">
      <w:pPr>
        <w:spacing w:line="276" w:lineRule="auto"/>
        <w:jc w:val="center"/>
        <w:rPr>
          <w:rFonts w:cstheme="minorHAnsi"/>
          <w:b/>
          <w:sz w:val="28"/>
          <w:szCs w:val="28"/>
        </w:rPr>
      </w:pPr>
    </w:p>
    <w:p w14:paraId="3F62A5CC" w14:textId="77777777" w:rsidR="00A956CF" w:rsidRPr="00A956CF" w:rsidRDefault="00A956CF" w:rsidP="00A956CF">
      <w:pPr>
        <w:spacing w:line="276" w:lineRule="auto"/>
        <w:rPr>
          <w:rFonts w:cstheme="minorHAnsi"/>
          <w:sz w:val="28"/>
          <w:szCs w:val="28"/>
        </w:rPr>
      </w:pPr>
      <w:r w:rsidRPr="00A956CF">
        <w:rPr>
          <w:rFonts w:cstheme="minorHAnsi"/>
          <w:sz w:val="28"/>
          <w:szCs w:val="28"/>
        </w:rPr>
        <w:t>Los pasos para que un usuario potencial se conecte a la Red de Distribución, se detallan a continuación:</w:t>
      </w:r>
    </w:p>
    <w:p w14:paraId="467F5D3F" w14:textId="77777777" w:rsidR="00A956CF" w:rsidRPr="00A956CF" w:rsidRDefault="00A956CF" w:rsidP="00A956CF">
      <w:pPr>
        <w:pStyle w:val="Prrafodelista"/>
        <w:numPr>
          <w:ilvl w:val="0"/>
          <w:numId w:val="3"/>
        </w:numPr>
        <w:spacing w:line="276" w:lineRule="auto"/>
        <w:jc w:val="both"/>
        <w:rPr>
          <w:rFonts w:cstheme="minorHAnsi"/>
          <w:sz w:val="28"/>
          <w:szCs w:val="28"/>
        </w:rPr>
      </w:pPr>
      <w:r w:rsidRPr="00A956CF">
        <w:rPr>
          <w:rFonts w:cstheme="minorHAnsi"/>
          <w:sz w:val="28"/>
          <w:szCs w:val="28"/>
        </w:rPr>
        <w:t>El usuario potencial presentará al distribuidor la solicitud del servicio de gas natural o acceso a la Red de distribución mediante comunicación escrita que deberá radicar en las oficinas de Promigas, ubicadas en la Calle 66 No. 67-123, en la ciudad de Barranquilla.</w:t>
      </w:r>
    </w:p>
    <w:p w14:paraId="1F29276F" w14:textId="77777777" w:rsidR="00A956CF" w:rsidRPr="00A956CF" w:rsidRDefault="00A956CF" w:rsidP="00A956CF">
      <w:pPr>
        <w:pStyle w:val="Prrafodelista"/>
        <w:numPr>
          <w:ilvl w:val="0"/>
          <w:numId w:val="3"/>
        </w:numPr>
        <w:shd w:val="clear" w:color="auto" w:fill="FFFFFF"/>
        <w:spacing w:line="276" w:lineRule="auto"/>
        <w:jc w:val="both"/>
        <w:rPr>
          <w:rFonts w:cstheme="minorHAnsi"/>
          <w:sz w:val="28"/>
          <w:szCs w:val="28"/>
        </w:rPr>
      </w:pPr>
      <w:r w:rsidRPr="00A956CF">
        <w:rPr>
          <w:rFonts w:cstheme="minorHAnsi"/>
          <w:sz w:val="28"/>
          <w:szCs w:val="28"/>
        </w:rPr>
        <w:t xml:space="preserve">La solicitud debe incluir la siguiente información: </w:t>
      </w:r>
    </w:p>
    <w:p w14:paraId="08DA963C" w14:textId="77777777" w:rsidR="00A956CF" w:rsidRPr="00A956CF" w:rsidRDefault="00A956CF" w:rsidP="00A956CF">
      <w:pPr>
        <w:pStyle w:val="Prrafodelista"/>
        <w:shd w:val="clear" w:color="auto" w:fill="FFFFFF"/>
        <w:spacing w:line="276" w:lineRule="auto"/>
        <w:jc w:val="both"/>
        <w:rPr>
          <w:rFonts w:cstheme="minorHAnsi"/>
          <w:sz w:val="28"/>
          <w:szCs w:val="28"/>
        </w:rPr>
      </w:pPr>
      <w:r w:rsidRPr="00A956CF">
        <w:rPr>
          <w:rFonts w:cstheme="minorHAnsi"/>
          <w:sz w:val="28"/>
          <w:szCs w:val="28"/>
        </w:rPr>
        <w:t xml:space="preserve">a) Nombre del solicitante y documento que lo identifique. </w:t>
      </w:r>
    </w:p>
    <w:p w14:paraId="44C22528" w14:textId="77777777" w:rsidR="00A956CF" w:rsidRPr="00A956CF" w:rsidRDefault="00A956CF" w:rsidP="00A956CF">
      <w:pPr>
        <w:pStyle w:val="Prrafodelista"/>
        <w:shd w:val="clear" w:color="auto" w:fill="FFFFFF"/>
        <w:spacing w:line="276" w:lineRule="auto"/>
        <w:jc w:val="both"/>
        <w:rPr>
          <w:rFonts w:cstheme="minorHAnsi"/>
          <w:sz w:val="28"/>
          <w:szCs w:val="28"/>
        </w:rPr>
      </w:pPr>
      <w:r w:rsidRPr="00A956CF">
        <w:rPr>
          <w:rFonts w:cstheme="minorHAnsi"/>
          <w:sz w:val="28"/>
          <w:szCs w:val="28"/>
        </w:rPr>
        <w:t xml:space="preserve">b) Dirección del inmueble.  </w:t>
      </w:r>
    </w:p>
    <w:p w14:paraId="6718538F" w14:textId="77777777" w:rsidR="00A956CF" w:rsidRPr="00A956CF" w:rsidRDefault="00A956CF" w:rsidP="00A956CF">
      <w:pPr>
        <w:pStyle w:val="Prrafodelista"/>
        <w:shd w:val="clear" w:color="auto" w:fill="FFFFFF"/>
        <w:spacing w:line="276" w:lineRule="auto"/>
        <w:jc w:val="both"/>
        <w:rPr>
          <w:rFonts w:cstheme="minorHAnsi"/>
          <w:sz w:val="28"/>
          <w:szCs w:val="28"/>
        </w:rPr>
      </w:pPr>
      <w:r w:rsidRPr="00A956CF">
        <w:rPr>
          <w:rFonts w:cstheme="minorHAnsi"/>
          <w:sz w:val="28"/>
          <w:szCs w:val="28"/>
        </w:rPr>
        <w:t xml:space="preserve">c) Tipo de servicio requerido. </w:t>
      </w:r>
    </w:p>
    <w:p w14:paraId="2B4A8199" w14:textId="77777777" w:rsidR="00A956CF" w:rsidRPr="00A956CF" w:rsidRDefault="00A956CF" w:rsidP="00A956CF">
      <w:pPr>
        <w:pStyle w:val="Prrafodelista"/>
        <w:shd w:val="clear" w:color="auto" w:fill="FFFFFF"/>
        <w:spacing w:line="276" w:lineRule="auto"/>
        <w:jc w:val="both"/>
        <w:rPr>
          <w:rFonts w:cstheme="minorHAnsi"/>
          <w:sz w:val="28"/>
          <w:szCs w:val="28"/>
        </w:rPr>
      </w:pPr>
      <w:r w:rsidRPr="00A956CF">
        <w:rPr>
          <w:rFonts w:cstheme="minorHAnsi"/>
          <w:sz w:val="28"/>
          <w:szCs w:val="28"/>
        </w:rPr>
        <w:t xml:space="preserve">d) Calidad con la que actúa </w:t>
      </w:r>
    </w:p>
    <w:p w14:paraId="645A8C98" w14:textId="77777777" w:rsidR="00A956CF" w:rsidRPr="00A956CF" w:rsidRDefault="00A956CF" w:rsidP="00A956CF">
      <w:pPr>
        <w:pStyle w:val="Prrafodelista"/>
        <w:shd w:val="clear" w:color="auto" w:fill="FFFFFF"/>
        <w:spacing w:line="276" w:lineRule="auto"/>
        <w:jc w:val="both"/>
        <w:rPr>
          <w:rFonts w:cstheme="minorHAnsi"/>
          <w:sz w:val="28"/>
          <w:szCs w:val="28"/>
        </w:rPr>
      </w:pPr>
      <w:r w:rsidRPr="00A956CF">
        <w:rPr>
          <w:rFonts w:cstheme="minorHAnsi"/>
          <w:sz w:val="28"/>
          <w:szCs w:val="28"/>
        </w:rPr>
        <w:t xml:space="preserve">e) Características técnicas del servicio (consumo, presión de trabajo, especificaciones técnicas de los equipos, ubicación de </w:t>
      </w:r>
      <w:proofErr w:type="gramStart"/>
      <w:r w:rsidRPr="00A956CF">
        <w:rPr>
          <w:rFonts w:cstheme="minorHAnsi"/>
          <w:sz w:val="28"/>
          <w:szCs w:val="28"/>
        </w:rPr>
        <w:t>los mismos</w:t>
      </w:r>
      <w:proofErr w:type="gramEnd"/>
      <w:r w:rsidRPr="00A956CF">
        <w:rPr>
          <w:rFonts w:cstheme="minorHAnsi"/>
          <w:sz w:val="28"/>
          <w:szCs w:val="28"/>
        </w:rPr>
        <w:t>, etc.).</w:t>
      </w:r>
    </w:p>
    <w:p w14:paraId="00D07E09" w14:textId="77777777" w:rsidR="00A956CF" w:rsidRPr="00A956CF" w:rsidRDefault="00A956CF" w:rsidP="00A956CF">
      <w:pPr>
        <w:pStyle w:val="Prrafodelista"/>
        <w:numPr>
          <w:ilvl w:val="0"/>
          <w:numId w:val="3"/>
        </w:numPr>
        <w:shd w:val="clear" w:color="auto" w:fill="FFFFFF"/>
        <w:spacing w:line="276" w:lineRule="auto"/>
        <w:jc w:val="both"/>
        <w:rPr>
          <w:rFonts w:cstheme="minorHAnsi"/>
          <w:sz w:val="28"/>
          <w:szCs w:val="28"/>
        </w:rPr>
      </w:pPr>
      <w:r w:rsidRPr="00A956CF">
        <w:rPr>
          <w:rFonts w:cstheme="minorHAnsi"/>
          <w:sz w:val="28"/>
          <w:szCs w:val="28"/>
        </w:rPr>
        <w:t xml:space="preserve">La solicitud será resuelta en un plazo que no excederá de quince (15) días hábiles siguientes a la fecha de su presentación, a menos que se requiera de estudios especiales para autorizar la conexión.  </w:t>
      </w:r>
    </w:p>
    <w:p w14:paraId="597FD870" w14:textId="77777777" w:rsidR="00A956CF" w:rsidRPr="00A956CF" w:rsidRDefault="00A956CF" w:rsidP="00A956CF">
      <w:pPr>
        <w:pStyle w:val="Prrafodelista"/>
        <w:numPr>
          <w:ilvl w:val="0"/>
          <w:numId w:val="3"/>
        </w:numPr>
        <w:shd w:val="clear" w:color="auto" w:fill="FFFFFF"/>
        <w:spacing w:line="276" w:lineRule="auto"/>
        <w:jc w:val="both"/>
        <w:rPr>
          <w:rFonts w:cstheme="minorHAnsi"/>
          <w:sz w:val="28"/>
          <w:szCs w:val="28"/>
        </w:rPr>
      </w:pPr>
      <w:r w:rsidRPr="00A956CF">
        <w:rPr>
          <w:rFonts w:cstheme="minorHAnsi"/>
          <w:sz w:val="28"/>
          <w:szCs w:val="28"/>
        </w:rPr>
        <w:t>Se dispondrá como máximo de treinta (30) días hábiles para la conexión del servicio una vez los usuarios hayan pagado los cargos correspondientes, salvo que esta no sea posible.</w:t>
      </w:r>
    </w:p>
    <w:p w14:paraId="189F313C" w14:textId="4D51417A" w:rsidR="00A956CF" w:rsidRDefault="00A956CF" w:rsidP="00A956CF">
      <w:pPr>
        <w:pStyle w:val="Prrafodelista"/>
        <w:shd w:val="clear" w:color="auto" w:fill="FFFFFF"/>
        <w:spacing w:line="276" w:lineRule="auto"/>
        <w:rPr>
          <w:sz w:val="28"/>
          <w:szCs w:val="28"/>
        </w:rPr>
      </w:pPr>
    </w:p>
    <w:p w14:paraId="4149C095" w14:textId="77777777" w:rsidR="00A956CF" w:rsidRPr="00A956CF" w:rsidRDefault="00A956CF" w:rsidP="00A956CF">
      <w:pPr>
        <w:pStyle w:val="Prrafodelista"/>
        <w:shd w:val="clear" w:color="auto" w:fill="FFFFFF"/>
        <w:spacing w:line="276" w:lineRule="auto"/>
        <w:rPr>
          <w:sz w:val="28"/>
          <w:szCs w:val="28"/>
        </w:rPr>
      </w:pPr>
    </w:p>
    <w:p w14:paraId="0BB0544D" w14:textId="6E938A37" w:rsidR="00354120" w:rsidRDefault="00A956CF" w:rsidP="00A956CF">
      <w:pPr>
        <w:spacing w:line="276" w:lineRule="auto"/>
        <w:jc w:val="center"/>
        <w:rPr>
          <w:b/>
          <w:bCs/>
          <w:sz w:val="28"/>
          <w:szCs w:val="28"/>
        </w:rPr>
      </w:pPr>
      <w:r w:rsidRPr="00A956CF">
        <w:rPr>
          <w:b/>
          <w:bCs/>
          <w:sz w:val="28"/>
          <w:szCs w:val="28"/>
        </w:rPr>
        <w:t>INFORMACIÓN DE TARIFA APROBADA POR LA CREG</w:t>
      </w:r>
    </w:p>
    <w:p w14:paraId="1D35EF93" w14:textId="0B312C18" w:rsidR="005A78B0" w:rsidRDefault="005A78B0" w:rsidP="00A956CF">
      <w:pPr>
        <w:spacing w:line="276" w:lineRule="auto"/>
        <w:jc w:val="both"/>
        <w:rPr>
          <w:sz w:val="28"/>
          <w:szCs w:val="28"/>
        </w:rPr>
      </w:pPr>
      <w:r w:rsidRPr="00A956CF">
        <w:rPr>
          <w:sz w:val="28"/>
          <w:szCs w:val="28"/>
        </w:rPr>
        <w:t>Cargos transitorios aprobados por uso del sistema de distribución de gas combustible por redes de tubería, para el mercado relevante conformado por municipios de los departamentos de Atlántico, Magdalena, Cesar y Bolívar, según solicitud tarifaria presentada por GASES DEL CARIBE S.A. E.S.P. y PROMIGAS S.A. E.S.P</w:t>
      </w:r>
      <w:r w:rsidR="000E5572" w:rsidRPr="00A956CF">
        <w:rPr>
          <w:sz w:val="28"/>
          <w:szCs w:val="28"/>
        </w:rPr>
        <w:t>.</w:t>
      </w:r>
    </w:p>
    <w:p w14:paraId="787543C5" w14:textId="45B5DF77" w:rsidR="00A956CF" w:rsidRDefault="00A956CF" w:rsidP="00A956CF">
      <w:pPr>
        <w:spacing w:line="276" w:lineRule="auto"/>
        <w:jc w:val="both"/>
        <w:rPr>
          <w:sz w:val="28"/>
          <w:szCs w:val="28"/>
        </w:rPr>
      </w:pPr>
    </w:p>
    <w:p w14:paraId="7588E337" w14:textId="77777777" w:rsidR="00A956CF" w:rsidRDefault="00A956CF" w:rsidP="00A956CF">
      <w:pPr>
        <w:spacing w:line="276" w:lineRule="auto"/>
        <w:jc w:val="both"/>
        <w:rPr>
          <w:sz w:val="28"/>
          <w:szCs w:val="28"/>
        </w:rPr>
      </w:pPr>
      <w:r>
        <w:rPr>
          <w:sz w:val="28"/>
          <w:szCs w:val="28"/>
        </w:rPr>
        <w:lastRenderedPageBreak/>
        <w:t>Estas tarifas podrán ser consultadas en las siguientes resoluciones:</w:t>
      </w:r>
    </w:p>
    <w:p w14:paraId="2EA8A3C2" w14:textId="637DA721" w:rsidR="005A78B0" w:rsidRPr="00A956CF" w:rsidRDefault="00A956CF" w:rsidP="00A956CF">
      <w:pPr>
        <w:pStyle w:val="Prrafodelista"/>
        <w:numPr>
          <w:ilvl w:val="0"/>
          <w:numId w:val="4"/>
        </w:numPr>
        <w:spacing w:line="276" w:lineRule="auto"/>
        <w:jc w:val="both"/>
        <w:rPr>
          <w:sz w:val="28"/>
          <w:szCs w:val="28"/>
        </w:rPr>
      </w:pPr>
      <w:r w:rsidRPr="00A956CF">
        <w:rPr>
          <w:sz w:val="28"/>
          <w:szCs w:val="28"/>
        </w:rPr>
        <w:t xml:space="preserve">Resolución </w:t>
      </w:r>
      <w:r w:rsidR="005A78B0" w:rsidRPr="00A956CF">
        <w:rPr>
          <w:sz w:val="28"/>
          <w:szCs w:val="28"/>
        </w:rPr>
        <w:t>CREG 198 de 2017</w:t>
      </w:r>
      <w:r w:rsidRPr="00A956CF">
        <w:rPr>
          <w:sz w:val="28"/>
          <w:szCs w:val="28"/>
        </w:rPr>
        <w:t xml:space="preserve">, </w:t>
      </w:r>
      <w:proofErr w:type="gramStart"/>
      <w:r w:rsidRPr="00A956CF">
        <w:rPr>
          <w:sz w:val="28"/>
          <w:szCs w:val="28"/>
        </w:rPr>
        <w:t>link</w:t>
      </w:r>
      <w:proofErr w:type="gramEnd"/>
      <w:r w:rsidRPr="00A956CF">
        <w:rPr>
          <w:sz w:val="28"/>
          <w:szCs w:val="28"/>
        </w:rPr>
        <w:t xml:space="preserve"> que a continuación se adjunta para su consulta:</w:t>
      </w:r>
    </w:p>
    <w:p w14:paraId="171B743A" w14:textId="1A0AE2B9" w:rsidR="005A78B0" w:rsidRPr="00A956CF" w:rsidRDefault="0070671B" w:rsidP="00A956CF">
      <w:pPr>
        <w:spacing w:line="276" w:lineRule="auto"/>
        <w:jc w:val="both"/>
        <w:rPr>
          <w:sz w:val="28"/>
          <w:szCs w:val="28"/>
        </w:rPr>
      </w:pPr>
      <w:hyperlink r:id="rId9" w:history="1">
        <w:r w:rsidR="005A78B0" w:rsidRPr="00A956CF">
          <w:rPr>
            <w:rStyle w:val="Hipervnculo"/>
            <w:sz w:val="28"/>
            <w:szCs w:val="28"/>
          </w:rPr>
          <w:t>http://apolo.creg.gov.co/Publicac.nsf/1c09d18d2d5ffb5b05256eee00709c02/076a2b7b3ac875ce05258234007c3ba6?OpenDocument&amp;Highlight=0,NoResolucioncreg198</w:t>
        </w:r>
      </w:hyperlink>
    </w:p>
    <w:p w14:paraId="78A8416D" w14:textId="69E2F01A" w:rsidR="005A78B0" w:rsidRPr="00A956CF" w:rsidRDefault="005A78B0" w:rsidP="00A956CF">
      <w:pPr>
        <w:spacing w:line="276" w:lineRule="auto"/>
        <w:jc w:val="both"/>
        <w:rPr>
          <w:sz w:val="28"/>
          <w:szCs w:val="28"/>
        </w:rPr>
      </w:pPr>
    </w:p>
    <w:p w14:paraId="3DDD24E9" w14:textId="2C3F3977" w:rsidR="00A956CF" w:rsidRPr="00A956CF" w:rsidRDefault="005A78B0" w:rsidP="00A956CF">
      <w:pPr>
        <w:pStyle w:val="Prrafodelista"/>
        <w:numPr>
          <w:ilvl w:val="0"/>
          <w:numId w:val="5"/>
        </w:numPr>
        <w:spacing w:line="276" w:lineRule="auto"/>
        <w:jc w:val="both"/>
        <w:rPr>
          <w:sz w:val="28"/>
          <w:szCs w:val="28"/>
        </w:rPr>
      </w:pPr>
      <w:r w:rsidRPr="00A956CF">
        <w:rPr>
          <w:sz w:val="28"/>
          <w:szCs w:val="28"/>
        </w:rPr>
        <w:t>Resolución CREG 018 de 2018</w:t>
      </w:r>
      <w:r w:rsidR="00A956CF">
        <w:rPr>
          <w:sz w:val="28"/>
          <w:szCs w:val="28"/>
        </w:rPr>
        <w:t>,</w:t>
      </w:r>
      <w:r w:rsidR="00A956CF" w:rsidRPr="00A956CF">
        <w:rPr>
          <w:sz w:val="28"/>
          <w:szCs w:val="28"/>
        </w:rPr>
        <w:t xml:space="preserve"> </w:t>
      </w:r>
      <w:proofErr w:type="gramStart"/>
      <w:r w:rsidR="00A956CF" w:rsidRPr="00A956CF">
        <w:rPr>
          <w:sz w:val="28"/>
          <w:szCs w:val="28"/>
        </w:rPr>
        <w:t>link</w:t>
      </w:r>
      <w:proofErr w:type="gramEnd"/>
      <w:r w:rsidR="00A956CF" w:rsidRPr="00A956CF">
        <w:rPr>
          <w:sz w:val="28"/>
          <w:szCs w:val="28"/>
        </w:rPr>
        <w:t xml:space="preserve"> que a continuación se adjunta para su consulta:</w:t>
      </w:r>
    </w:p>
    <w:p w14:paraId="4221F8E0" w14:textId="67DDDFE6" w:rsidR="005A78B0" w:rsidRPr="00A956CF" w:rsidRDefault="005A78B0" w:rsidP="00A956CF">
      <w:pPr>
        <w:pStyle w:val="Prrafodelista"/>
        <w:spacing w:line="276" w:lineRule="auto"/>
        <w:jc w:val="both"/>
        <w:rPr>
          <w:sz w:val="28"/>
          <w:szCs w:val="28"/>
        </w:rPr>
      </w:pPr>
    </w:p>
    <w:p w14:paraId="02C7F295" w14:textId="5B299380" w:rsidR="00454B42" w:rsidRPr="00A956CF" w:rsidRDefault="0070671B" w:rsidP="00A956CF">
      <w:pPr>
        <w:spacing w:line="276" w:lineRule="auto"/>
        <w:jc w:val="both"/>
        <w:rPr>
          <w:sz w:val="28"/>
          <w:szCs w:val="28"/>
        </w:rPr>
      </w:pPr>
      <w:hyperlink r:id="rId10" w:history="1">
        <w:r w:rsidR="005A78B0" w:rsidRPr="00A956CF">
          <w:rPr>
            <w:rStyle w:val="Hipervnculo"/>
            <w:sz w:val="28"/>
            <w:szCs w:val="28"/>
          </w:rPr>
          <w:t>http://apolo.creg.gov.co/Publicac.nsf/1c09d18d2d5ffb5b05256eee00709c02/af89b12785302ab80525823b0048ef5e?OpenDocument&amp;Highlight=0,NoResolucioncreg018-2018</w:t>
        </w:r>
      </w:hyperlink>
    </w:p>
    <w:sectPr w:rsidR="00454B42" w:rsidRPr="00A956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E24195"/>
    <w:multiLevelType w:val="hybridMultilevel"/>
    <w:tmpl w:val="56DED3D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E473089"/>
    <w:multiLevelType w:val="hybridMultilevel"/>
    <w:tmpl w:val="5434E1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D4F696D"/>
    <w:multiLevelType w:val="hybridMultilevel"/>
    <w:tmpl w:val="888E39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68014C2"/>
    <w:multiLevelType w:val="hybridMultilevel"/>
    <w:tmpl w:val="56DED3D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DF02AC0"/>
    <w:multiLevelType w:val="hybridMultilevel"/>
    <w:tmpl w:val="F2C2BB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20"/>
    <w:rsid w:val="000E2F6A"/>
    <w:rsid w:val="000E5572"/>
    <w:rsid w:val="00265104"/>
    <w:rsid w:val="002E7CEA"/>
    <w:rsid w:val="00354120"/>
    <w:rsid w:val="003747C8"/>
    <w:rsid w:val="00454B42"/>
    <w:rsid w:val="00490BEC"/>
    <w:rsid w:val="004F026E"/>
    <w:rsid w:val="00542495"/>
    <w:rsid w:val="005A78B0"/>
    <w:rsid w:val="006F19B0"/>
    <w:rsid w:val="0070671B"/>
    <w:rsid w:val="00A956CF"/>
    <w:rsid w:val="00CE5C8B"/>
    <w:rsid w:val="00F708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FA1B9"/>
  <w15:chartTrackingRefBased/>
  <w15:docId w15:val="{B3F16156-2BEA-4840-B4B1-6E14661B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4B42"/>
    <w:pPr>
      <w:ind w:left="720"/>
      <w:contextualSpacing/>
    </w:pPr>
  </w:style>
  <w:style w:type="character" w:styleId="Hipervnculo">
    <w:name w:val="Hyperlink"/>
    <w:basedOn w:val="Fuentedeprrafopredeter"/>
    <w:uiPriority w:val="99"/>
    <w:semiHidden/>
    <w:unhideWhenUsed/>
    <w:rsid w:val="005A78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05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apolo.creg.gov.co/Publicac.nsf/1c09d18d2d5ffb5b05256eee00709c02/af89b12785302ab80525823b0048ef5e?OpenDocument&amp;Highlight=0,NoResolucioncreg018-2018" TargetMode="External"/><Relationship Id="rId4" Type="http://schemas.openxmlformats.org/officeDocument/2006/relationships/numbering" Target="numbering.xml"/><Relationship Id="rId9" Type="http://schemas.openxmlformats.org/officeDocument/2006/relationships/hyperlink" Target="http://apolo.creg.gov.co/Publicac.nsf/1c09d18d2d5ffb5b05256eee00709c02/076a2b7b3ac875ce05258234007c3ba6?OpenDocument&amp;Highlight=0,NoResolucioncreg19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7E13349C5F9BE42B06E4414E77B3859" ma:contentTypeVersion="1" ma:contentTypeDescription="Crear nuevo documento." ma:contentTypeScope="" ma:versionID="6863fc2ca708e26409c1ca54097b29c5">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FC0851-7BDC-43C3-9B98-9B70AFAD0C2F}"/>
</file>

<file path=customXml/itemProps2.xml><?xml version="1.0" encoding="utf-8"?>
<ds:datastoreItem xmlns:ds="http://schemas.openxmlformats.org/officeDocument/2006/customXml" ds:itemID="{C8492B45-A846-462C-B32C-DACA107C617D}"/>
</file>

<file path=customXml/itemProps3.xml><?xml version="1.0" encoding="utf-8"?>
<ds:datastoreItem xmlns:ds="http://schemas.openxmlformats.org/officeDocument/2006/customXml" ds:itemID="{6FF843E2-498E-42A1-82AB-50A13B9607F5}"/>
</file>

<file path=docProps/app.xml><?xml version="1.0" encoding="utf-8"?>
<Properties xmlns="http://schemas.openxmlformats.org/officeDocument/2006/extended-properties" xmlns:vt="http://schemas.openxmlformats.org/officeDocument/2006/docPropsVTypes">
  <Template>Normal</Template>
  <TotalTime>2</TotalTime>
  <Pages>3</Pages>
  <Words>499</Words>
  <Characters>2748</Characters>
  <Application>Microsoft Office Word</Application>
  <DocSecurity>4</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Restrepo Campo</dc:creator>
  <cp:keywords/>
  <dc:description/>
  <cp:lastModifiedBy>Andrea Sanchez Moreno</cp:lastModifiedBy>
  <cp:revision>2</cp:revision>
  <dcterms:created xsi:type="dcterms:W3CDTF">2020-03-03T14:22:00Z</dcterms:created>
  <dcterms:modified xsi:type="dcterms:W3CDTF">2020-03-03T14:22:00Z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0x010100C7E13349C5F9BE42B06E4414E77B3859</vt:lpwstr>
  </property>
</Properties>
</file>